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______________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94"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______________</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31, 2018 (October 31, 2018)</w:t>
      </w:r>
    </w:p>
    <w:p>
      <w:pPr>
        <w:spacing w:after="0" w:line="27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______________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MOLINA HEALTHCARE,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413" w:right="239" w:bottom="1440" w:gutter="0" w:footer="0" w:header="0"/>
        </w:sectPr>
      </w:pPr>
    </w:p>
    <w:p>
      <w:pPr>
        <w:spacing w:after="0" w:line="28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1-31719</w:t>
      </w:r>
    </w:p>
    <w:p>
      <w:pPr>
        <w:spacing w:after="0" w:line="50" w:lineRule="exact"/>
        <w:rPr>
          <w:sz w:val="24"/>
          <w:szCs w:val="24"/>
          <w:color w:val="auto"/>
        </w:rPr>
      </w:pPr>
    </w:p>
    <w:p>
      <w:pPr>
        <w:jc w:val="center"/>
        <w:ind w:right="300"/>
        <w:spacing w:after="0"/>
        <w:rPr>
          <w:sz w:val="20"/>
          <w:szCs w:val="20"/>
          <w:color w:val="auto"/>
        </w:rPr>
      </w:pPr>
      <w:r>
        <w:rPr>
          <w:rFonts w:ascii="Arial" w:cs="Arial" w:eastAsia="Arial" w:hAnsi="Arial"/>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13-4204626</w:t>
      </w:r>
    </w:p>
    <w:p>
      <w:pPr>
        <w:spacing w:after="0" w:line="50" w:lineRule="exact"/>
        <w:rPr>
          <w:sz w:val="24"/>
          <w:szCs w:val="24"/>
          <w:color w:val="auto"/>
        </w:rPr>
      </w:pPr>
    </w:p>
    <w:p>
      <w:pPr>
        <w:jc w:val="center"/>
        <w:ind w:right="200"/>
        <w:spacing w:after="0"/>
        <w:rPr>
          <w:sz w:val="20"/>
          <w:szCs w:val="20"/>
          <w:color w:val="auto"/>
        </w:rPr>
      </w:pPr>
      <w:r>
        <w:rPr>
          <w:rFonts w:ascii="Arial" w:cs="Arial" w:eastAsia="Arial" w:hAnsi="Arial"/>
          <w:sz w:val="17"/>
          <w:szCs w:val="17"/>
          <w:b w:val="1"/>
          <w:bCs w:val="1"/>
          <w:color w:val="auto"/>
        </w:rPr>
        <w:t>(I.R.S. Employer Identification Number)</w:t>
      </w:r>
    </w:p>
    <w:p>
      <w:pPr>
        <w:spacing w:after="0" w:line="169" w:lineRule="exact"/>
        <w:rPr>
          <w:sz w:val="24"/>
          <w:szCs w:val="24"/>
          <w:color w:val="auto"/>
        </w:rPr>
      </w:pPr>
    </w:p>
    <w:p>
      <w:pPr>
        <w:sectPr>
          <w:pgSz w:w="11900" w:h="16838" w:orient="portrait"/>
          <w:cols w:equalWidth="0" w:num="3">
            <w:col w:w="3860" w:space="720"/>
            <w:col w:w="2580" w:space="720"/>
            <w:col w:w="3540"/>
          </w:cols>
          <w:pgMar w:left="240" w:top="1413" w:right="239" w:bottom="1440" w:gutter="0" w:footer="0" w:header="0"/>
          <w:type w:val="continuous"/>
        </w:sectPr>
      </w:pPr>
    </w:p>
    <w:p>
      <w:pPr>
        <w:ind w:left="5020"/>
        <w:spacing w:after="0"/>
        <w:rPr>
          <w:sz w:val="20"/>
          <w:szCs w:val="20"/>
          <w:color w:val="auto"/>
        </w:rPr>
      </w:pPr>
      <w:r>
        <w:rPr>
          <w:rFonts w:ascii="Arial" w:cs="Arial" w:eastAsia="Arial" w:hAnsi="Arial"/>
          <w:sz w:val="17"/>
          <w:szCs w:val="17"/>
          <w:b w:val="1"/>
          <w:bCs w:val="1"/>
          <w:color w:val="auto"/>
        </w:rPr>
        <w:t>______________</w:t>
      </w:r>
    </w:p>
    <w:p>
      <w:pPr>
        <w:sectPr>
          <w:pgSz w:w="11900" w:h="16838" w:orient="portrait"/>
          <w:cols w:equalWidth="0" w:num="1">
            <w:col w:w="11420"/>
          </w:cols>
          <w:pgMar w:left="240" w:top="1413" w:right="239" w:bottom="1440" w:gutter="0" w:footer="0" w:header="0"/>
          <w:type w:val="continuous"/>
        </w:sectPr>
      </w:pPr>
    </w:p>
    <w:p>
      <w:pPr>
        <w:spacing w:after="0" w:line="318"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200 Oceangate, Suite 100, Long Beach, California 90802</w:t>
      </w:r>
    </w:p>
    <w:p>
      <w:pPr>
        <w:spacing w:after="0" w:line="5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(562) 435-3666</w:t>
      </w:r>
    </w:p>
    <w:p>
      <w:pPr>
        <w:spacing w:after="0" w:line="200" w:lineRule="exact"/>
        <w:rPr>
          <w:sz w:val="24"/>
          <w:szCs w:val="24"/>
          <w:color w:val="auto"/>
        </w:rPr>
      </w:pPr>
    </w:p>
    <w:p>
      <w:pPr>
        <w:spacing w:after="0" w:line="31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0"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7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7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 ] Pre-commencement communications pursuant to Rule 13e-4(c) under the Exchange Act (17 CFR 240.13e-4(c))</w:t>
      </w:r>
    </w:p>
    <w:p>
      <w:pPr>
        <w:spacing w:after="0" w:line="144"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1140" w:type="dxa"/>
            <w:vAlign w:val="bottom"/>
          </w:tcPr>
          <w:p>
            <w:pPr>
              <w:ind w:left="8920"/>
              <w:spacing w:after="0"/>
              <w:rPr>
                <w:sz w:val="20"/>
                <w:szCs w:val="20"/>
                <w:color w:val="auto"/>
              </w:rPr>
            </w:pPr>
            <w:r>
              <w:rPr>
                <w:rFonts w:ascii="Arial" w:cs="Arial" w:eastAsia="Arial" w:hAnsi="Arial"/>
                <w:sz w:val="18"/>
                <w:szCs w:val="18"/>
                <w:color w:val="auto"/>
              </w:rPr>
              <w:t>Emerging growth company</w:t>
            </w:r>
          </w:p>
        </w:tc>
        <w:tc>
          <w:tcPr>
            <w:tcW w:w="2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722"/>
        </w:trPr>
        <w:tc>
          <w:tcPr>
            <w:tcW w:w="11140" w:type="dxa"/>
            <w:vAlign w:val="bottom"/>
          </w:tcPr>
          <w:p>
            <w:pPr>
              <w:ind w:left="4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2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3"/>
        </w:trPr>
        <w:tc>
          <w:tcPr>
            <w:tcW w:w="11140" w:type="dxa"/>
            <w:vAlign w:val="bottom"/>
          </w:tcPr>
          <w:p>
            <w:pPr>
              <w:ind w:left="40"/>
              <w:spacing w:after="0"/>
              <w:rPr>
                <w:sz w:val="20"/>
                <w:szCs w:val="20"/>
                <w:color w:val="auto"/>
              </w:rPr>
            </w:pPr>
            <w:r>
              <w:rPr>
                <w:rFonts w:ascii="Arial" w:cs="Arial" w:eastAsia="Arial" w:hAnsi="Arial"/>
                <w:sz w:val="18"/>
                <w:szCs w:val="18"/>
                <w:color w:val="auto"/>
              </w:rPr>
              <w:t>complying with any new or revised financial accounting standards provided pursuant to Section13(a) of the Exchange Act.</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13" w:right="2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3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31, 2018, Molina Healthcare, Inc. (the “Company”) issued a press release announcing its financial results for the third quarter ended September 30, 2018, and increases to the Company’s fiscal year 2018 guidance. The full text of the press release is included as Exhibit 99.1 to this report. The information contained in the website cited in the press release is not part of this report.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in this Form 8-K and the exhibit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as amended,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301" w:lineRule="exact"/>
        <w:rPr>
          <w:sz w:val="20"/>
          <w:szCs w:val="20"/>
          <w:color w:val="auto"/>
        </w:rPr>
      </w:pPr>
    </w:p>
    <w:p>
      <w:pPr>
        <w:ind w:left="880" w:hanging="46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711" w:right="239" w:bottom="1440" w:gutter="0" w:footer="0" w:header="0"/>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83" w:lineRule="exact"/>
        <w:rPr>
          <w:sz w:val="20"/>
          <w:szCs w:val="20"/>
          <w:color w:val="auto"/>
        </w:rPr>
      </w:pPr>
    </w:p>
    <w:p>
      <w:pPr>
        <w:sectPr>
          <w:pgSz w:w="11900" w:h="16838" w:orient="portrait"/>
          <w:cols w:equalWidth="0" w:num="2">
            <w:col w:w="980" w:space="440"/>
            <w:col w:w="10000"/>
          </w:cols>
          <w:pgMar w:left="240" w:top="711" w:right="239" w:bottom="1440" w:gutter="0" w:footer="0" w:header="0"/>
          <w:type w:val="continuous"/>
        </w:sectPr>
      </w:pPr>
    </w:p>
    <w:p>
      <w:pPr>
        <w:ind w:left="1420" w:right="840" w:hanging="1377"/>
        <w:spacing w:after="0" w:line="246" w:lineRule="auto"/>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Molina Healthcare, Inc., issued October 31, 2018, as to financial results for the third quarter ended September 30, 2018, and increases to the Company’s fiscal year 2018 guidance.</w:t>
      </w:r>
    </w:p>
    <w:p>
      <w:pPr>
        <w:sectPr>
          <w:pgSz w:w="11900" w:h="16838" w:orient="portrait"/>
          <w:cols w:equalWidth="0" w:num="1">
            <w:col w:w="11420"/>
          </w:cols>
          <w:pgMar w:left="240" w:top="711" w:right="2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30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MOLINA HEALTHCARE, INC.</w:t>
      </w:r>
    </w:p>
    <w:p>
      <w:pPr>
        <w:spacing w:after="0" w:line="374" w:lineRule="exact"/>
        <w:rPr>
          <w:sz w:val="20"/>
          <w:szCs w:val="20"/>
          <w:color w:val="auto"/>
        </w:rPr>
      </w:pPr>
    </w:p>
    <w:p>
      <w:pPr>
        <w:ind w:left="80"/>
        <w:spacing w:after="0"/>
        <w:tabs>
          <w:tab w:leader="none" w:pos="980" w:val="left"/>
          <w:tab w:leader="none" w:pos="630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Jeff D.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 D. Barlow</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80"/>
          </w:cols>
          <w:pgMar w:left="240" w:top="71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9160" w:type="dxa"/>
            <w:vAlign w:val="bottom"/>
            <w:gridSpan w:val="2"/>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13"/>
        </w:trPr>
        <w:tc>
          <w:tcPr>
            <w:tcW w:w="13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91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Press release of Molina Healthcare, Inc., issued October 31, 2018, as to financial results for the third quarter ended</w:t>
              </w:r>
            </w:hyperlink>
          </w:p>
        </w:tc>
      </w:tr>
      <w:tr>
        <w:trPr>
          <w:trHeight w:val="183"/>
        </w:trPr>
        <w:tc>
          <w:tcPr>
            <w:tcW w:w="1380" w:type="dxa"/>
            <w:vAlign w:val="bottom"/>
          </w:tcPr>
          <w:p>
            <w:pPr>
              <w:spacing w:after="0"/>
              <w:rPr>
                <w:sz w:val="15"/>
                <w:szCs w:val="15"/>
                <w:color w:val="auto"/>
              </w:rPr>
            </w:pPr>
          </w:p>
        </w:tc>
        <w:tc>
          <w:tcPr>
            <w:tcW w:w="644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September 30, 2018, and increases to the Company’s fiscal year 2018 guidance.</w:t>
              </w:r>
            </w:hyperlink>
          </w:p>
        </w:tc>
        <w:tc>
          <w:tcPr>
            <w:tcW w:w="2720" w:type="dxa"/>
            <w:vAlign w:val="bottom"/>
          </w:tcPr>
          <w:p>
            <w:pPr>
              <w:spacing w:after="0"/>
              <w:rPr>
                <w:sz w:val="15"/>
                <w:szCs w:val="15"/>
                <w:color w:val="auto"/>
              </w:rPr>
            </w:pPr>
          </w:p>
        </w:tc>
      </w:tr>
    </w:tbl>
    <w:p>
      <w:pPr>
        <w:sectPr>
          <w:pgSz w:w="11900" w:h="16838" w:orient="portrait"/>
          <w:cols w:equalWidth="0" w:num="1">
            <w:col w:w="10540"/>
          </w:cols>
          <w:pgMar w:left="280" w:top="711" w:right="10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72020" cy="956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5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47"/>
          <w:szCs w:val="47"/>
          <w:b w:val="1"/>
          <w:bCs w:val="1"/>
          <w:color w:val="0F7C7F"/>
        </w:rPr>
        <w:t>News Release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Ryan Kubota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562-435-3666, ext. 119057</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ANNOUNCES THIRD QUARTER 2018 RESULTS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INCREASES FULL YEAR 2018 GUIDANCE</w:t>
      </w:r>
    </w:p>
    <w:p>
      <w:pPr>
        <w:spacing w:after="0" w:line="247" w:lineRule="exact"/>
        <w:rPr>
          <w:sz w:val="20"/>
          <w:szCs w:val="20"/>
          <w:color w:val="auto"/>
        </w:rPr>
      </w:pPr>
    </w:p>
    <w:p>
      <w:pPr>
        <w:ind w:left="340" w:right="2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$2.90 per diluted share on a GAAP basis for the third quarter of 2018, and $7.60 for the nine months ended September 30, 2018</w:t>
      </w:r>
    </w:p>
    <w:p>
      <w:pPr>
        <w:spacing w:after="0" w:line="196"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2018 results include a net charge of $0.35 per diluted share, and year-to-date results include a net benefit of $0.59 per diluted share, for non-run rate items</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medical care ratio improved to 86.4% from 87.0%, sequentially, when excluding non-run rate items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profit margin of 4.2% in the quarter, and 3.6% year to date</w:t>
      </w:r>
    </w:p>
    <w:p>
      <w:pPr>
        <w:spacing w:after="0" w:line="225"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2018 guidance increases by $1.65 per diluted share at the midpoint, to a range of $8.80 - $9.00 net income per diluted share on a GAAP basis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Long Beach, California (October 31, 2018) </w:t>
      </w:r>
      <w:r>
        <w:rPr>
          <w:rFonts w:ascii="Arial" w:cs="Arial" w:eastAsia="Arial" w:hAnsi="Arial"/>
          <w:sz w:val="18"/>
          <w:szCs w:val="18"/>
          <w:color w:val="auto"/>
        </w:rPr>
        <w:t>- Molina Healthcare, Inc. (NYSE: MOH) today reported its financial results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very pleased with the continued improvement in the performance of our business,” said Joe Zubretsky, President and Chief Executive Officer. “Our financial results reflect the significant progress we are making in executing our margin recovery and sustainability plan.”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the sequential comparison of our 2018 third quarter performance with our 2018 second quarter performance is the most useful indicator of our business progress. Significant items impacting the quarter are presented in a table later in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2018 Compared With Second Quarter of 2018</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decreased slightly to $197 million, from $202 million in the second quarter of 2018. Net income per diluted share decreased to $2.90, from $3.02 in the second quarter of 2018.</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Premium revenue decreased $177 million, or 4%, in the third quarter of 2018 compared with the second quarter of 2018. The sequential decline is mainly attributed to non-run rate items including the 2017 Marketplace risk adjustment premium that we recognized in the second quarter of 2018, and a $ 57 million reduction in revenues for a retroactive California Medicaid Expansion risk corridor for the state’s 2017 fiscal year that we recognized in the third quarter of 2018.</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Overall, the medical care ratio (MCR) increased to 87.4%, from 85.3% in the second quarter of 2018. Excluding the retroactive California Medicaid Expansion risk corridor adjustment and a small benefit from the 2017 Marketplace cost sharing reduction (CSR), the MCR would have been 86.4% in the third quarter of 2018. Excluding the combined benefit of the 2017 Marketplace risk adjustment and CSR reimbursement,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36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MCR would have been 87.0% in the second quarter of 2018. The sequential improvement in the overall underlying MCR was due to a decrease in the Medicaid and Marketplace MCRs, partially offset by an increase in the Medicare MCR as follows:</w:t>
      </w:r>
    </w:p>
    <w:p>
      <w:pPr>
        <w:spacing w:after="0" w:line="196" w:lineRule="exact"/>
        <w:rPr>
          <w:sz w:val="20"/>
          <w:szCs w:val="20"/>
          <w:color w:val="auto"/>
        </w:rPr>
      </w:pPr>
    </w:p>
    <w:p>
      <w:pPr>
        <w:jc w:val="both"/>
        <w:ind w:left="34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Medicaid MCR increased to 90.5%, from 89.8% in the second quarter of 2018. Excluding the recognition of the $57 million retroactive California Medicaid Expansion risk corridor adjustment, the Medicaid MCR would have been 89.0% in the third quarter of 2018. The sequential decrease was mainly due to improved performance in the Aged, Blind or Disabled (ABD) and Expansion programs, partially offset by a decline in performance in the Temporary Assistance for Needy Families program (TANF).</w:t>
      </w:r>
    </w:p>
    <w:p>
      <w:pPr>
        <w:spacing w:after="0" w:line="204"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Marketplace MCR increased to 64.1%, from 57.4% in the second quarter of 2018. Excluding the benefit of the 2017 CSR, the MCR would have been 65.3% in the third quarter of 2018. Excluding the combined benefit of the 2017 risk adjustment and CSR, the Marketplace MCR would have been 68.4% in the second quarter of 2018. The sequential improvement was mainly due to lower medical costs and higher revenue.</w:t>
      </w:r>
    </w:p>
    <w:p>
      <w:pPr>
        <w:spacing w:after="0" w:line="20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Medicare MCR increased to 87.3%, from 85.0% in the second quarter of 2018, mainly due to certain premium adjustments and higher inpatient costs in our Medicare-Medicaid Integrated plans.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general and administrative (G&amp;A) expense ratio decreased to 6.6%, from 6.9% in the second quarter of 2018, due to continuing G&amp;A cost containment.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 Progress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third quarter of 2018, we repaid $140 million aggregate principal amount of our 1.125% Notes and entered into privately negotiated termination agreements to partially terminate the related 1.125% Call Option and 1.125% Warrants. In addition, we converted the remaining $64 million aggregate principal amount of our 1.625% Notes for cash and 0.6 million shares of our common stock. Year to date, we have reduced the principal amount of outstanding debt by $697 million. In addition, we terminated our bridge credit agreement in the third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Molina Medicaid Solutions (MMS) Segment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closed on our sale of MMS to DXC Technology Company on September 30, 2018. The net cash selling price for the equity interests of MMS was $233 million, which we received on October 1, 2018. As a result of this transaction, we recorded a pretax gain, net of transactions costs, of $37 million, or $0.42 per diluted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2018 Compared With Third Quarter of 2017</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for the third quarter of 2018 was $197 million, compared with a net loss of $97 million for the third quarter of 2017. Net income per diluted share was $2.90 for the third quarter of 2018 compared with a net loss per diluted share of $1.70 reported for the third quarter of 2017. In the third quarter of 2017, we recorded impairment and restructuring charges of $247 million, or $3.16 per diluted share.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Revised Guidance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2018 Revised Guidance </w:t>
      </w:r>
      <w:r>
        <w:rPr>
          <w:rFonts w:ascii="Arial" w:cs="Arial" w:eastAsia="Arial" w:hAnsi="Arial"/>
          <w:sz w:val="21"/>
          <w:szCs w:val="21"/>
          <w:b w:val="1"/>
          <w:bCs w:val="1"/>
          <w:color w:val="auto"/>
          <w:vertAlign w:val="superscript"/>
        </w:rPr>
        <w:t>(1)</w:t>
      </w:r>
      <w:r>
        <w:rPr>
          <w:rFonts w:ascii="Arial" w:cs="Arial" w:eastAsia="Arial" w:hAnsi="Arial"/>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revenue</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$17.5B</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Service revenue</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 $390M</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revenue</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$420M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Health insurer fees reimbursed</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 $325M</w:t>
            </w:r>
          </w:p>
        </w:tc>
      </w:tr>
      <w:tr>
        <w:trPr>
          <w:trHeight w:val="273"/>
        </w:trPr>
        <w:tc>
          <w:tcPr>
            <w:tcW w:w="6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Investment income and other revenue</w:t>
            </w:r>
          </w:p>
        </w:tc>
        <w:tc>
          <w:tcPr>
            <w:tcW w:w="4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$125M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4700" w:type="dxa"/>
            <w:vAlign w:val="bottom"/>
          </w:tcPr>
          <w:p>
            <w:pPr>
              <w:jc w:val="right"/>
              <w:ind w:right="19"/>
              <w:spacing w:after="0"/>
              <w:rPr>
                <w:sz w:val="20"/>
                <w:szCs w:val="20"/>
                <w:color w:val="auto"/>
              </w:rPr>
            </w:pPr>
            <w:r>
              <w:rPr>
                <w:rFonts w:ascii="Arial" w:cs="Arial" w:eastAsia="Arial" w:hAnsi="Arial"/>
                <w:sz w:val="16"/>
                <w:szCs w:val="16"/>
                <w:b w:val="1"/>
                <w:bCs w:val="1"/>
                <w:color w:val="auto"/>
              </w:rPr>
              <w:t>~ $18.8B</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Medical care costs</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$15.1B</w:t>
            </w:r>
          </w:p>
        </w:tc>
      </w:tr>
      <w:tr>
        <w:trPr>
          <w:trHeight w:val="270"/>
        </w:trPr>
        <w:tc>
          <w:tcPr>
            <w:tcW w:w="6720" w:type="dxa"/>
            <w:vAlign w:val="bottom"/>
          </w:tcPr>
          <w:p>
            <w:pPr>
              <w:ind w:left="280"/>
              <w:spacing w:after="0"/>
              <w:rPr>
                <w:sz w:val="20"/>
                <w:szCs w:val="20"/>
                <w:color w:val="auto"/>
              </w:rPr>
            </w:pPr>
            <w:r>
              <w:rPr>
                <w:rFonts w:ascii="Arial" w:cs="Arial" w:eastAsia="Arial" w:hAnsi="Arial"/>
                <w:sz w:val="16"/>
                <w:szCs w:val="16"/>
                <w:i w:val="1"/>
                <w:iCs w:val="1"/>
                <w:color w:val="auto"/>
              </w:rPr>
              <w:t xml:space="preserve">Medical care ratio </w:t>
            </w:r>
            <w:r>
              <w:rPr>
                <w:rFonts w:ascii="Arial" w:cs="Arial" w:eastAsia="Arial" w:hAnsi="Arial"/>
                <w:sz w:val="21"/>
                <w:szCs w:val="21"/>
                <w:i w:val="1"/>
                <w:iCs w:val="1"/>
                <w:color w:val="auto"/>
                <w:vertAlign w:val="superscript"/>
              </w:rPr>
              <w:t>(2)</w:t>
            </w:r>
          </w:p>
        </w:tc>
        <w:tc>
          <w:tcPr>
            <w:tcW w:w="4700" w:type="dxa"/>
            <w:vAlign w:val="bottom"/>
          </w:tcPr>
          <w:p>
            <w:pPr>
              <w:jc w:val="right"/>
              <w:ind w:right="19"/>
              <w:spacing w:after="0"/>
              <w:rPr>
                <w:sz w:val="20"/>
                <w:szCs w:val="20"/>
                <w:color w:val="auto"/>
              </w:rPr>
            </w:pPr>
            <w:r>
              <w:rPr>
                <w:rFonts w:ascii="Arial" w:cs="Arial" w:eastAsia="Arial" w:hAnsi="Arial"/>
                <w:sz w:val="16"/>
                <w:szCs w:val="16"/>
                <w:i w:val="1"/>
                <w:iCs w:val="1"/>
                <w:color w:val="auto"/>
              </w:rPr>
              <w:t>~ 86%</w:t>
            </w: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$350M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b w:val="1"/>
                <w:bCs w:val="1"/>
                <w:color w:val="auto"/>
              </w:rPr>
              <w:t>General and administrative expenses</w:t>
            </w:r>
          </w:p>
        </w:tc>
        <w:tc>
          <w:tcPr>
            <w:tcW w:w="4700" w:type="dxa"/>
            <w:vAlign w:val="bottom"/>
          </w:tcPr>
          <w:p>
            <w:pPr>
              <w:jc w:val="right"/>
              <w:ind w:right="19"/>
              <w:spacing w:after="0"/>
              <w:rPr>
                <w:sz w:val="20"/>
                <w:szCs w:val="20"/>
                <w:color w:val="auto"/>
              </w:rPr>
            </w:pPr>
            <w:r>
              <w:rPr>
                <w:rFonts w:ascii="Arial" w:cs="Arial" w:eastAsia="Arial" w:hAnsi="Arial"/>
                <w:sz w:val="16"/>
                <w:szCs w:val="16"/>
                <w:b w:val="1"/>
                <w:bCs w:val="1"/>
                <w:color w:val="auto"/>
              </w:rPr>
              <w:t>~ $1.4B</w:t>
            </w:r>
          </w:p>
        </w:tc>
      </w:tr>
      <w:tr>
        <w:trPr>
          <w:trHeight w:val="280"/>
        </w:trPr>
        <w:tc>
          <w:tcPr>
            <w:tcW w:w="672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(3)</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i w:val="1"/>
                <w:iCs w:val="1"/>
                <w:color w:val="auto"/>
              </w:rPr>
              <w:t>~ 7.3%</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Premium tax expenses</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 $420M</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Health insurer fees</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$350M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 $100M</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and separation costs</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$40M - $45M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Losses on sale of subsidiaries, net</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 $15M</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and other expenses, net</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$145M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$870M - $890M</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$585M - $600M</w:t>
            </w:r>
          </w:p>
        </w:tc>
      </w:tr>
      <w:tr>
        <w:trPr>
          <w:trHeight w:val="270"/>
        </w:trPr>
        <w:tc>
          <w:tcPr>
            <w:tcW w:w="6720" w:type="dxa"/>
            <w:vAlign w:val="bottom"/>
          </w:tcPr>
          <w:p>
            <w:pPr>
              <w:ind w:left="40"/>
              <w:spacing w:after="0"/>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21"/>
                <w:szCs w:val="21"/>
                <w:b w:val="1"/>
                <w:bCs w:val="1"/>
                <w:color w:val="auto"/>
                <w:vertAlign w:val="superscript"/>
              </w:rPr>
              <w:t>(4)</w:t>
            </w:r>
          </w:p>
        </w:tc>
        <w:tc>
          <w:tcPr>
            <w:tcW w:w="4700" w:type="dxa"/>
            <w:vAlign w:val="bottom"/>
          </w:tcPr>
          <w:p>
            <w:pPr>
              <w:jc w:val="right"/>
              <w:ind w:right="19"/>
              <w:spacing w:after="0"/>
              <w:rPr>
                <w:sz w:val="20"/>
                <w:szCs w:val="20"/>
                <w:color w:val="auto"/>
              </w:rPr>
            </w:pPr>
            <w:r>
              <w:rPr>
                <w:rFonts w:ascii="Arial" w:cs="Arial" w:eastAsia="Arial" w:hAnsi="Arial"/>
                <w:sz w:val="16"/>
                <w:szCs w:val="16"/>
                <w:b w:val="1"/>
                <w:bCs w:val="1"/>
                <w:color w:val="auto"/>
              </w:rPr>
              <w:t>$1,105M - $1,125M</w:t>
            </w:r>
          </w:p>
        </w:tc>
      </w:tr>
      <w:tr>
        <w:trPr>
          <w:trHeight w:val="270"/>
        </w:trPr>
        <w:tc>
          <w:tcPr>
            <w:tcW w:w="6720" w:type="dxa"/>
            <w:vAlign w:val="bottom"/>
            <w:shd w:val="clear" w:color="auto" w:fill="CCEEFF"/>
          </w:tcPr>
          <w:p>
            <w:pPr>
              <w:ind w:left="280"/>
              <w:spacing w:after="0"/>
              <w:rPr>
                <w:sz w:val="20"/>
                <w:szCs w:val="20"/>
                <w:color w:val="auto"/>
              </w:rPr>
            </w:pPr>
            <w:r>
              <w:rPr>
                <w:rFonts w:ascii="Arial" w:cs="Arial" w:eastAsia="Arial" w:hAnsi="Arial"/>
                <w:sz w:val="16"/>
                <w:szCs w:val="16"/>
                <w:i w:val="1"/>
                <w:iCs w:val="1"/>
                <w:color w:val="auto"/>
              </w:rPr>
              <w:t>Effective tax rate</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i w:val="1"/>
                <w:iCs w:val="1"/>
                <w:color w:val="auto"/>
              </w:rPr>
              <w:t>32% - 33%</w:t>
            </w:r>
          </w:p>
        </w:tc>
      </w:tr>
      <w:tr>
        <w:trPr>
          <w:trHeight w:val="270"/>
        </w:trPr>
        <w:tc>
          <w:tcPr>
            <w:tcW w:w="6720" w:type="dxa"/>
            <w:vAlign w:val="bottom"/>
          </w:tcPr>
          <w:p>
            <w:pPr>
              <w:ind w:left="280"/>
              <w:spacing w:after="0"/>
              <w:rPr>
                <w:sz w:val="20"/>
                <w:szCs w:val="20"/>
                <w:color w:val="auto"/>
              </w:rPr>
            </w:pPr>
            <w:r>
              <w:rPr>
                <w:rFonts w:ascii="Arial" w:cs="Arial" w:eastAsia="Arial" w:hAnsi="Arial"/>
                <w:sz w:val="16"/>
                <w:szCs w:val="16"/>
                <w:i w:val="1"/>
                <w:iCs w:val="1"/>
                <w:color w:val="auto"/>
              </w:rPr>
              <w:t xml:space="preserve">Net profit margin </w:t>
            </w:r>
            <w:r>
              <w:rPr>
                <w:rFonts w:ascii="Arial" w:cs="Arial" w:eastAsia="Arial" w:hAnsi="Arial"/>
                <w:sz w:val="21"/>
                <w:szCs w:val="21"/>
                <w:i w:val="1"/>
                <w:iCs w:val="1"/>
                <w:color w:val="auto"/>
                <w:vertAlign w:val="superscript"/>
              </w:rPr>
              <w:t>(3)</w:t>
            </w:r>
          </w:p>
        </w:tc>
        <w:tc>
          <w:tcPr>
            <w:tcW w:w="4700" w:type="dxa"/>
            <w:vAlign w:val="bottom"/>
          </w:tcPr>
          <w:p>
            <w:pPr>
              <w:jc w:val="right"/>
              <w:ind w:right="19"/>
              <w:spacing w:after="0"/>
              <w:rPr>
                <w:sz w:val="20"/>
                <w:szCs w:val="20"/>
                <w:color w:val="auto"/>
              </w:rPr>
            </w:pPr>
            <w:r>
              <w:rPr>
                <w:rFonts w:ascii="Arial" w:cs="Arial" w:eastAsia="Arial" w:hAnsi="Arial"/>
                <w:sz w:val="16"/>
                <w:szCs w:val="16"/>
                <w:i w:val="1"/>
                <w:iCs w:val="1"/>
                <w:color w:val="auto"/>
              </w:rPr>
              <w:t>3.1% - 3.2%</w:t>
            </w: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weighted average shares</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66.7M</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$8.80 - $9.00</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Adjusted net income per share </w:t>
            </w:r>
            <w:r>
              <w:rPr>
                <w:rFonts w:ascii="Arial" w:cs="Arial" w:eastAsia="Arial" w:hAnsi="Arial"/>
                <w:sz w:val="21"/>
                <w:szCs w:val="21"/>
                <w:color w:val="auto"/>
                <w:vertAlign w:val="superscript"/>
              </w:rPr>
              <w:t>(4)</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$9.05 - $9.25</w:t>
            </w:r>
          </w:p>
        </w:tc>
      </w:tr>
      <w:tr>
        <w:trPr>
          <w:trHeight w:val="260"/>
        </w:trPr>
        <w:tc>
          <w:tcPr>
            <w:tcW w:w="6720" w:type="dxa"/>
            <w:vAlign w:val="bottom"/>
          </w:tcPr>
          <w:p>
            <w:pPr>
              <w:ind w:left="40"/>
              <w:spacing w:after="0"/>
              <w:rPr>
                <w:sz w:val="20"/>
                <w:szCs w:val="20"/>
                <w:color w:val="auto"/>
              </w:rPr>
            </w:pPr>
            <w:r>
              <w:rPr>
                <w:rFonts w:ascii="Arial" w:cs="Arial" w:eastAsia="Arial" w:hAnsi="Arial"/>
                <w:sz w:val="16"/>
                <w:szCs w:val="16"/>
                <w:color w:val="auto"/>
              </w:rPr>
              <w:t>End-of-year Marketplace membership</w:t>
            </w:r>
          </w:p>
        </w:tc>
        <w:tc>
          <w:tcPr>
            <w:tcW w:w="4700" w:type="dxa"/>
            <w:vAlign w:val="bottom"/>
          </w:tcPr>
          <w:p>
            <w:pPr>
              <w:jc w:val="right"/>
              <w:ind w:right="19"/>
              <w:spacing w:after="0"/>
              <w:rPr>
                <w:sz w:val="20"/>
                <w:szCs w:val="20"/>
                <w:color w:val="auto"/>
              </w:rPr>
            </w:pPr>
            <w:r>
              <w:rPr>
                <w:rFonts w:ascii="Arial" w:cs="Arial" w:eastAsia="Arial" w:hAnsi="Arial"/>
                <w:sz w:val="16"/>
                <w:szCs w:val="16"/>
                <w:color w:val="auto"/>
              </w:rPr>
              <w:t>340,000</w:t>
            </w:r>
          </w:p>
        </w:tc>
      </w:tr>
      <w:tr>
        <w:trPr>
          <w:trHeight w:val="280"/>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End-of-year Medicaid and Medicare membership</w:t>
            </w:r>
          </w:p>
        </w:tc>
        <w:tc>
          <w:tcPr>
            <w:tcW w:w="4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3,510,000</w:t>
            </w:r>
          </w:p>
        </w:tc>
      </w:tr>
      <w:tr>
        <w:trPr>
          <w:trHeight w:val="197"/>
        </w:trPr>
        <w:tc>
          <w:tcPr>
            <w:tcW w:w="6720" w:type="dxa"/>
            <w:vAlign w:val="bottom"/>
          </w:tcPr>
          <w:p>
            <w:pPr>
              <w:spacing w:after="0"/>
              <w:rPr>
                <w:sz w:val="20"/>
                <w:szCs w:val="20"/>
                <w:color w:val="auto"/>
              </w:rPr>
            </w:pPr>
            <w:r>
              <w:rPr>
                <w:rFonts w:ascii="Arial" w:cs="Arial" w:eastAsia="Arial" w:hAnsi="Arial"/>
                <w:sz w:val="16"/>
                <w:szCs w:val="16"/>
                <w:color w:val="auto"/>
              </w:rPr>
              <w:t>__________________</w:t>
            </w:r>
          </w:p>
        </w:tc>
        <w:tc>
          <w:tcPr>
            <w:tcW w:w="4700" w:type="dxa"/>
            <w:vAlign w:val="bottom"/>
          </w:tcPr>
          <w:p>
            <w:pPr>
              <w:spacing w:after="0"/>
              <w:rPr>
                <w:sz w:val="17"/>
                <w:szCs w:val="17"/>
                <w:color w:val="auto"/>
              </w:rPr>
            </w:pPr>
          </w:p>
        </w:tc>
      </w:tr>
    </w:tbl>
    <w:p>
      <w:pPr>
        <w:spacing w:after="0" w:line="102" w:lineRule="exact"/>
        <w:rPr>
          <w:sz w:val="20"/>
          <w:szCs w:val="20"/>
          <w:color w:val="auto"/>
        </w:rPr>
      </w:pPr>
    </w:p>
    <w:p>
      <w:pPr>
        <w:ind w:left="340" w:right="2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amounts are estimates; actual results may differ materially. See the Company’s risk factors as discussed in its 2017 Form 10-K and other filings and the statements below in this press release after the heading “Safe Harbor Statement under the Private Securities Litigation Reform Act of 1995.”</w:t>
      </w: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Net profit margin represents net income as a percentage of total revenue.</w:t>
      </w: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 reconciliation of non-GAAP financial measures at the end of this release.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Management will host a conference call and webcast to discuss Molina Healthcare’s third quarter 2018 results at 7:30 a.m. Eastern time on Thursday, November 1, 2018. The number to call for the interactive teleconference is (877) 883-0383 and the confirmation number is 5420566. A telephonic replay of the conference call will be available through Friday, November 2, 2018, by dialing (877) 344-7529 and entering confirmation number 10124788. A live audio broadcast of this conference call will be available on Molina Healthcare’s website, </w:t>
      </w:r>
      <w:r>
        <w:rPr>
          <w:rFonts w:ascii="Arial" w:cs="Arial" w:eastAsia="Arial" w:hAnsi="Arial"/>
          <w:sz w:val="18"/>
          <w:szCs w:val="18"/>
          <w:u w:val="single" w:color="auto"/>
          <w:color w:val="auto"/>
        </w:rPr>
        <w:t>molinahealthcare.com</w:t>
      </w:r>
      <w:r>
        <w:rPr>
          <w:rFonts w:ascii="Arial" w:cs="Arial" w:eastAsia="Arial" w:hAnsi="Arial"/>
          <w:sz w:val="18"/>
          <w:szCs w:val="18"/>
          <w:color w:val="auto"/>
        </w:rPr>
        <w:t>. A 30-day online replay will be available approximately an hour following the conclusion of the live broadcast.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Molina Healthcare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Molina Healthcare, Inc., a FORTUNE 500 company, provides managed health care services under the Medicaid and Medicare programs and through the state insurance marketplaces. Through its locally operated health plans, Molina Healthcare served approximately 4.0 million members as of September 30, 2018. For more information about Molina Healthcare, please visit </w:t>
      </w:r>
      <w:r>
        <w:rPr>
          <w:rFonts w:ascii="Arial" w:cs="Arial" w:eastAsia="Arial" w:hAnsi="Arial"/>
          <w:sz w:val="18"/>
          <w:szCs w:val="18"/>
          <w:u w:val="single" w:color="auto"/>
          <w:color w:val="auto"/>
        </w:rPr>
        <w:t>molinahealthcare.com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earnings release contains “forward-looking statements” regarding the Company’s 2018 revised guidance, as well as its plans, expectations, and anticipated future events. Actual results could differ materially due to numerous known and unknown risks and uncertainties. Those known risks and uncertainties include, but are not limited to, the following:</w:t>
      </w:r>
    </w:p>
    <w:p>
      <w:pPr>
        <w:spacing w:after="0" w:line="68" w:lineRule="exact"/>
        <w:rPr>
          <w:sz w:val="20"/>
          <w:szCs w:val="20"/>
          <w:color w:val="auto"/>
        </w:rPr>
      </w:pPr>
    </w:p>
    <w:p>
      <w:pPr>
        <w:ind w:left="340" w:hanging="332"/>
        <w:spacing w:after="0" w:line="26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profit improvement and maintenance initiatives, including the timing and amounts of the benefits realized, and administrative and medical cost savings achieved;</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and market-based uncertainties associated with the Affordable Care Act (the “ACA”) or “Obamacare;”</w:t>
      </w:r>
    </w:p>
    <w:p>
      <w:pPr>
        <w:spacing w:after="0" w:line="9" w:lineRule="exact"/>
        <w:rPr>
          <w:rFonts w:ascii="Arial" w:cs="Arial" w:eastAsia="Arial" w:hAnsi="Arial"/>
          <w:sz w:val="18"/>
          <w:szCs w:val="18"/>
          <w:i w:val="1"/>
          <w:iCs w:val="1"/>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risk adjustment requirements, the potential for disproportionate enrollment of higher acuity members, the discontinuation of premium tax credits, and the adequacy of agreed rates;</w:t>
      </w:r>
    </w:p>
    <w:p>
      <w:pPr>
        <w:spacing w:after="0" w:line="1"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the Company’s medical costs;</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predict with a reasonable degree of accuracy utilization rates, including utilization rates associated with seasonal flu patterns or other newly emergent diseases;</w:t>
      </w:r>
    </w:p>
    <w:p>
      <w:pPr>
        <w:ind w:left="340" w:right="2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and their potential inability to maintain current rates, to implement expected rate increases, or to maintain existing benefit packages or membership eligibility thresholds or criteria;</w:t>
      </w: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efforts to retain existing or awarded government contracts, including the success of any protest filings or defenses;</w:t>
      </w:r>
    </w:p>
    <w:p>
      <w:pPr>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manage its operations, including maintaining and creating adequate internal systems and controls relating to authorizations, approvals, provider payments, and the overall success of its care management initiatives;</w:t>
      </w:r>
    </w:p>
    <w:p>
      <w:pPr>
        <w:ind w:left="340" w:right="2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consummate and realize benefits from divestitures and acquisitions, including the recently consummated MMS and Pathways divestitures;</w:t>
      </w:r>
    </w:p>
    <w:p>
      <w:pPr>
        <w:ind w:left="340" w:right="2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receipt of adequate premium rates to support increasing pharmacy costs, including costs associated with specialty drugs and costs resulting from formulary changes that allow the option of higher-priced non-generic drugs;</w:t>
      </w:r>
    </w:p>
    <w:p>
      <w:pPr>
        <w:ind w:left="340" w:hanging="332"/>
        <w:spacing w:after="0" w:line="250"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operate profitably in an environment where the trend in premium rate increases lags behind the trend in increasing medical costs;</w:t>
      </w:r>
    </w:p>
    <w:p>
      <w:pPr>
        <w:ind w:left="340" w:hanging="332"/>
        <w:spacing w:after="0" w:line="26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 sharing arrangements, and risk adjustment provisions and requirements;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4" w:lineRule="exact"/>
        <w:rPr>
          <w:sz w:val="20"/>
          <w:szCs w:val="20"/>
          <w:color w:val="auto"/>
        </w:rPr>
      </w:pPr>
    </w:p>
    <w:p>
      <w:pPr>
        <w:ind w:left="340" w:hanging="332"/>
        <w:spacing w:after="0" w:line="26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estimates of amounts owed for such cost expenditure floors, administrative cost and profit ceilings, premium stabilization programs, profit-sharing arrangements, and risk adjustment provisions;</w:t>
      </w:r>
    </w:p>
    <w:p>
      <w:pPr>
        <w:spacing w:after="0" w:line="1" w:lineRule="exact"/>
        <w:rPr>
          <w:rFonts w:ascii="Arial" w:cs="Arial" w:eastAsia="Arial" w:hAnsi="Arial"/>
          <w:sz w:val="18"/>
          <w:szCs w:val="18"/>
          <w:i w:val="1"/>
          <w:iCs w:val="1"/>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corridors in California, New Mexico, and Washington,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the Company’s ability to recognize revenue amounts associated therewith;</w:t>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or other privacy or data security incidents resulting in an inadvertent unauthorized disclosure of protected health information;</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the Company’s health plan in Puerto Rico, including the resolution of the debt crisis and the effect of the PROMESA law, and the impact of any future significant weather events;</w:t>
      </w:r>
    </w:p>
    <w:p>
      <w:pPr>
        <w:ind w:left="340" w:hanging="332"/>
        <w:spacing w:after="0"/>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success and renewal of the Company’s duals demonstration programs in California, Illinois, Michigan, Ohio, South Carolina, and Texas;</w:t>
      </w:r>
    </w:p>
    <w:p>
      <w:pPr>
        <w:spacing w:after="0" w:line="20" w:lineRule="exact"/>
        <w:rPr>
          <w:rFonts w:ascii="Arial" w:cs="Arial" w:eastAsia="Arial" w:hAnsi="Arial"/>
          <w:sz w:val="17"/>
          <w:szCs w:val="17"/>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the Company’s health plans;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or enrollment backlogs related to the annual renewal of Medicaid coverage;</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government audits and reviews, or potential investigations, and any fine, sanction, enrollment freeze, monitoring program, or premium recovery that may result therefrom;</w:t>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the Company’s provider contracts and the loss of providers;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the Company’s health plan subsidiaries;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the Company’s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ourselves are not a direct party;</w:t>
      </w:r>
    </w:p>
    <w:p>
      <w:pPr>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the Company’s California, Ohio, Texas, and Washington health plans;</w:t>
      </w:r>
    </w:p>
    <w:p>
      <w:pPr>
        <w:jc w:val="both"/>
        <w:ind w:left="34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the Company’s expansion and growth, repay the Company’s outstanding indebtedness at maturity and meet its liquidity needs, including the interest expense and other costs associated with such financing;</w:t>
      </w:r>
    </w:p>
    <w:p>
      <w:pPr>
        <w:spacing w:after="0" w:line="1" w:lineRule="exact"/>
        <w:rPr>
          <w:rFonts w:ascii="Arial" w:cs="Arial" w:eastAsia="Arial" w:hAnsi="Arial"/>
          <w:sz w:val="18"/>
          <w:szCs w:val="18"/>
          <w:i w:val="1"/>
          <w:iCs w:val="1"/>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failure to comply with the financial or other covenants in its credit agreement or the indentures governing its outstanding notes;</w:t>
      </w: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the Company’s funds on hand to pay the amounts due upon conversion or maturity of its outstanding notes;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or Medicaid management information systems industries;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 including but not limited to the deductibility of certain compensation costs;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newly emergent viruses or widespread epidemics, public catastrophes or terrorist attacks, and associated public alarm;</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and numerous other risk factors, including those discussed in the Company’s periodic reports and filings with the Securities and Exchange Commission. These reports can be accessed under the investor relations tab of the Company’s website or on the SEC’s website at </w:t>
      </w:r>
      <w:r>
        <w:rPr>
          <w:rFonts w:ascii="Arial" w:cs="Arial" w:eastAsia="Arial" w:hAnsi="Arial"/>
          <w:sz w:val="18"/>
          <w:szCs w:val="18"/>
          <w:u w:val="single" w:color="auto"/>
          <w:color w:val="auto"/>
        </w:rPr>
        <w:t>sec.gov</w:t>
      </w:r>
      <w:r>
        <w:rPr>
          <w:rFonts w:ascii="Arial" w:cs="Arial" w:eastAsia="Arial" w:hAnsi="Arial"/>
          <w:sz w:val="18"/>
          <w:szCs w:val="18"/>
          <w:i w:val="1"/>
          <w:iCs w:val="1"/>
          <w:color w:val="auto"/>
        </w:rPr>
        <w:t>. Given these risks and uncertainties, the Company can give no assurances that its forward-looking statements will prove to be accurate, or that any other results or events projected or contemplated by its forward-looking statements will in fact occur, and the Company cautions investors not to place undue reliance on these statements. All forward-looking statements in this release represent the Company’s judgment as of October 31, 2018, and the Company disclaims any obligation to update any forward-looking statements to conform the statement to actual results or changes in its expectations.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35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5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233"/>
        </w:trPr>
        <w:tc>
          <w:tcPr>
            <w:tcW w:w="4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20" w:type="dxa"/>
            <w:vAlign w:val="bottom"/>
            <w:gridSpan w:val="9"/>
          </w:tcPr>
          <w:p>
            <w:pPr>
              <w:jc w:val="right"/>
              <w:ind w:right="59"/>
              <w:spacing w:after="0"/>
              <w:rPr>
                <w:sz w:val="20"/>
                <w:szCs w:val="20"/>
                <w:color w:val="auto"/>
              </w:rPr>
            </w:pPr>
            <w:r>
              <w:rPr>
                <w:rFonts w:ascii="Arial" w:cs="Arial" w:eastAsia="Arial" w:hAnsi="Arial"/>
                <w:sz w:val="16"/>
                <w:szCs w:val="16"/>
                <w:b w:val="1"/>
                <w:bCs w:val="1"/>
                <w:i w:val="1"/>
                <w:iCs w:val="1"/>
                <w:color w:val="auto"/>
              </w:rPr>
              <w:t>(Dollar amounts in millions, except per-share amounts)</w:t>
            </w:r>
          </w:p>
        </w:tc>
        <w:tc>
          <w:tcPr>
            <w:tcW w:w="1180" w:type="dxa"/>
            <w:vAlign w:val="bottom"/>
          </w:tcPr>
          <w:p>
            <w:pPr>
              <w:spacing w:after="0"/>
              <w:rPr>
                <w:sz w:val="20"/>
                <w:szCs w:val="20"/>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4500" w:type="dxa"/>
            <w:vAlign w:val="bottom"/>
          </w:tcPr>
          <w:p>
            <w:pPr>
              <w:ind w:left="280"/>
              <w:spacing w:after="0"/>
              <w:rPr>
                <w:sz w:val="20"/>
                <w:szCs w:val="20"/>
                <w:color w:val="auto"/>
              </w:rPr>
            </w:pPr>
            <w:r>
              <w:rPr>
                <w:rFonts w:ascii="Arial" w:cs="Arial" w:eastAsia="Arial" w:hAnsi="Arial"/>
                <w:sz w:val="16"/>
                <w:szCs w:val="16"/>
                <w:color w:val="auto"/>
              </w:rPr>
              <w:t>Premium revenue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4,337</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4,777</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14,165</w:t>
            </w: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Service revenue</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390</w:t>
            </w:r>
          </w:p>
        </w:tc>
      </w:tr>
      <w:tr>
        <w:trPr>
          <w:trHeight w:val="260"/>
        </w:trPr>
        <w:tc>
          <w:tcPr>
            <w:tcW w:w="4500" w:type="dxa"/>
            <w:vAlign w:val="bottom"/>
          </w:tcPr>
          <w:p>
            <w:pPr>
              <w:ind w:left="280"/>
              <w:spacing w:after="0"/>
              <w:rPr>
                <w:sz w:val="20"/>
                <w:szCs w:val="20"/>
                <w:color w:val="auto"/>
              </w:rPr>
            </w:pPr>
            <w:r>
              <w:rPr>
                <w:rFonts w:ascii="Arial" w:cs="Arial" w:eastAsia="Arial" w:hAnsi="Arial"/>
                <w:sz w:val="16"/>
                <w:szCs w:val="16"/>
                <w:color w:val="auto"/>
              </w:rPr>
              <w:t>Premium tax revenue</w:t>
            </w:r>
          </w:p>
        </w:tc>
        <w:tc>
          <w:tcPr>
            <w:tcW w:w="10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331</w:t>
            </w: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 reimbursed</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Investment income and other revenue</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w:t>
            </w:r>
          </w:p>
        </w:tc>
      </w:tr>
      <w:tr>
        <w:trPr>
          <w:trHeight w:val="257"/>
        </w:trPr>
        <w:tc>
          <w:tcPr>
            <w:tcW w:w="4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10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4,697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5,031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14,226</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14,934</w:t>
            </w:r>
          </w:p>
        </w:tc>
      </w:tr>
      <w:tr>
        <w:trPr>
          <w:trHeight w:val="254"/>
        </w:trPr>
        <w:tc>
          <w:tcPr>
            <w:tcW w:w="45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care costs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11,362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12,822</w:t>
            </w:r>
          </w:p>
        </w:tc>
      </w:tr>
      <w:tr>
        <w:trPr>
          <w:trHeight w:val="260"/>
        </w:trPr>
        <w:tc>
          <w:tcPr>
            <w:tcW w:w="4500" w:type="dxa"/>
            <w:vAlign w:val="bottom"/>
          </w:tcPr>
          <w:p>
            <w:pPr>
              <w:ind w:left="280"/>
              <w:spacing w:after="0"/>
              <w:rPr>
                <w:sz w:val="20"/>
                <w:szCs w:val="20"/>
                <w:color w:val="auto"/>
              </w:rPr>
            </w:pPr>
            <w:r>
              <w:rPr>
                <w:rFonts w:ascii="Arial" w:cs="Arial" w:eastAsia="Arial" w:hAnsi="Arial"/>
                <w:sz w:val="16"/>
                <w:szCs w:val="16"/>
                <w:color w:val="auto"/>
              </w:rPr>
              <w:t>Cost of service revenue</w:t>
            </w:r>
          </w:p>
        </w:tc>
        <w:tc>
          <w:tcPr>
            <w:tcW w:w="10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369</w:t>
            </w: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1,227</w:t>
            </w:r>
          </w:p>
        </w:tc>
      </w:tr>
      <w:tr>
        <w:trPr>
          <w:trHeight w:val="260"/>
        </w:trPr>
        <w:tc>
          <w:tcPr>
            <w:tcW w:w="4500" w:type="dxa"/>
            <w:vAlign w:val="bottom"/>
          </w:tcPr>
          <w:p>
            <w:pPr>
              <w:ind w:left="280"/>
              <w:spacing w:after="0"/>
              <w:rPr>
                <w:sz w:val="20"/>
                <w:szCs w:val="20"/>
                <w:color w:val="auto"/>
              </w:rPr>
            </w:pPr>
            <w:r>
              <w:rPr>
                <w:rFonts w:ascii="Arial" w:cs="Arial" w:eastAsia="Arial" w:hAnsi="Arial"/>
                <w:sz w:val="16"/>
                <w:szCs w:val="16"/>
                <w:color w:val="auto"/>
              </w:rPr>
              <w:t>Premium tax expenses</w:t>
            </w:r>
          </w:p>
        </w:tc>
        <w:tc>
          <w:tcPr>
            <w:tcW w:w="10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331</w:t>
            </w: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insurer fees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45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109</w:t>
            </w: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Restructuring and separation costs</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161</w:t>
            </w:r>
          </w:p>
        </w:tc>
      </w:tr>
      <w:tr>
        <w:trPr>
          <w:trHeight w:val="264"/>
        </w:trPr>
        <w:tc>
          <w:tcPr>
            <w:tcW w:w="4500" w:type="dxa"/>
            <w:vAlign w:val="bottom"/>
          </w:tcPr>
          <w:p>
            <w:pPr>
              <w:ind w:left="280"/>
              <w:spacing w:after="0"/>
              <w:rPr>
                <w:sz w:val="20"/>
                <w:szCs w:val="20"/>
                <w:color w:val="auto"/>
              </w:rPr>
            </w:pPr>
            <w:r>
              <w:rPr>
                <w:rFonts w:ascii="Arial" w:cs="Arial" w:eastAsia="Arial" w:hAnsi="Arial"/>
                <w:sz w:val="16"/>
                <w:szCs w:val="16"/>
                <w:color w:val="auto"/>
              </w:rPr>
              <w:t>Impairment losses</w:t>
            </w:r>
          </w:p>
        </w:tc>
        <w:tc>
          <w:tcPr>
            <w:tcW w:w="102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201</w:t>
            </w:r>
          </w:p>
        </w:tc>
      </w:tr>
      <w:tr>
        <w:trPr>
          <w:trHeight w:val="250"/>
        </w:trPr>
        <w:tc>
          <w:tcPr>
            <w:tcW w:w="45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4,439</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5,112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13,404</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15,220</w:t>
            </w:r>
          </w:p>
        </w:tc>
      </w:tr>
      <w:tr>
        <w:trPr>
          <w:trHeight w:val="250"/>
        </w:trPr>
        <w:tc>
          <w:tcPr>
            <w:tcW w:w="4500" w:type="dxa"/>
            <w:vAlign w:val="bottom"/>
          </w:tcPr>
          <w:p>
            <w:pPr>
              <w:ind w:left="40"/>
              <w:spacing w:after="0"/>
              <w:rPr>
                <w:sz w:val="20"/>
                <w:szCs w:val="20"/>
                <w:color w:val="auto"/>
              </w:rPr>
            </w:pPr>
            <w:r>
              <w:rPr>
                <w:rFonts w:ascii="Arial" w:cs="Arial" w:eastAsia="Arial" w:hAnsi="Arial"/>
                <w:sz w:val="16"/>
                <w:szCs w:val="16"/>
                <w:color w:val="auto"/>
              </w:rPr>
              <w:t>Gain on sale of subsidiary</w:t>
            </w:r>
          </w:p>
        </w:tc>
        <w:tc>
          <w:tcPr>
            <w:tcW w:w="102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7"/>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859</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(286)</w:t>
            </w:r>
          </w:p>
        </w:tc>
      </w:tr>
      <w:tr>
        <w:trPr>
          <w:trHeight w:val="254"/>
        </w:trPr>
        <w:tc>
          <w:tcPr>
            <w:tcW w:w="4500" w:type="dxa"/>
            <w:vAlign w:val="bottom"/>
          </w:tcPr>
          <w:p>
            <w:pPr>
              <w:ind w:left="40"/>
              <w:spacing w:after="0"/>
              <w:rPr>
                <w:sz w:val="20"/>
                <w:szCs w:val="20"/>
                <w:color w:val="auto"/>
              </w:rPr>
            </w:pPr>
            <w:r>
              <w:rPr>
                <w:rFonts w:ascii="Arial" w:cs="Arial" w:eastAsia="Arial" w:hAnsi="Arial"/>
                <w:sz w:val="16"/>
                <w:szCs w:val="16"/>
                <w:color w:val="auto"/>
              </w:rPr>
              <w:t>Other expenses, net:</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4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r>
      <w:tr>
        <w:trPr>
          <w:trHeight w:val="264"/>
        </w:trPr>
        <w:tc>
          <w:tcPr>
            <w:tcW w:w="450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102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(75)</w:t>
            </w:r>
          </w:p>
        </w:tc>
      </w:tr>
      <w:tr>
        <w:trPr>
          <w:trHeight w:val="250"/>
        </w:trPr>
        <w:tc>
          <w:tcPr>
            <w:tcW w:w="45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other expenses, net</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r>
      <w:tr>
        <w:trPr>
          <w:trHeight w:val="247"/>
        </w:trPr>
        <w:tc>
          <w:tcPr>
            <w:tcW w:w="4500" w:type="dxa"/>
            <w:vAlign w:val="bottom"/>
          </w:tcPr>
          <w:p>
            <w:pPr>
              <w:ind w:left="40"/>
              <w:spacing w:after="0"/>
              <w:rPr>
                <w:sz w:val="20"/>
                <w:szCs w:val="20"/>
                <w:color w:val="auto"/>
              </w:rPr>
            </w:pPr>
            <w:r>
              <w:rPr>
                <w:rFonts w:ascii="Arial" w:cs="Arial" w:eastAsia="Arial" w:hAnsi="Arial"/>
                <w:sz w:val="16"/>
                <w:szCs w:val="16"/>
                <w:color w:val="auto"/>
              </w:rPr>
              <w:t>Income (loss) before income tax expense (benefit)</w:t>
            </w:r>
          </w:p>
        </w:tc>
        <w:tc>
          <w:tcPr>
            <w:tcW w:w="102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(296)</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0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r>
      <w:tr>
        <w:trPr>
          <w:trHeight w:val="28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(250)</w:t>
            </w:r>
          </w:p>
        </w:tc>
      </w:tr>
      <w:tr>
        <w:trPr>
          <w:trHeight w:val="267"/>
        </w:trPr>
        <w:tc>
          <w:tcPr>
            <w:tcW w:w="4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9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per diluted share</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(4.44)</w:t>
            </w:r>
          </w:p>
        </w:tc>
      </w:tr>
      <w:tr>
        <w:trPr>
          <w:trHeight w:val="267"/>
        </w:trPr>
        <w:tc>
          <w:tcPr>
            <w:tcW w:w="4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9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56.2</w:t>
            </w:r>
          </w:p>
        </w:tc>
      </w:tr>
      <w:tr>
        <w:trPr>
          <w:trHeight w:val="267"/>
        </w:trPr>
        <w:tc>
          <w:tcPr>
            <w:tcW w:w="4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Operating Statistics: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care ratio</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G&amp;A ratio</w:t>
            </w:r>
          </w:p>
        </w:tc>
        <w:tc>
          <w:tcPr>
            <w:tcW w:w="10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Premium tax ratio</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0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15.5 %</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profit (loss) margin</w:t>
            </w: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-MORE-</w:t>
      </w:r>
    </w:p>
    <w:p>
      <w:pPr>
        <w:sectPr>
          <w:pgSz w:w="11900" w:h="16838" w:orient="portrait"/>
          <w:cols w:equalWidth="0" w:num="1">
            <w:col w:w="11420"/>
          </w:cols>
          <w:pgMar w:left="240" w:top="35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198"/>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4"/>
          </w:tcPr>
          <w:p>
            <w:pPr>
              <w:jc w:val="right"/>
              <w:ind w:right="1219"/>
              <w:spacing w:after="0"/>
              <w:rPr>
                <w:sz w:val="20"/>
                <w:szCs w:val="20"/>
                <w:color w:val="auto"/>
              </w:rPr>
            </w:pPr>
            <w:r>
              <w:rPr>
                <w:rFonts w:ascii="Arial" w:cs="Arial" w:eastAsia="Arial" w:hAnsi="Arial"/>
                <w:sz w:val="16"/>
                <w:szCs w:val="16"/>
                <w:b w:val="1"/>
                <w:bCs w:val="1"/>
                <w:i w:val="1"/>
                <w:iCs w:val="1"/>
                <w:color w:val="auto"/>
              </w:rPr>
              <w:t>(In millions,</w:t>
            </w:r>
          </w:p>
        </w:tc>
      </w:tr>
      <w:tr>
        <w:trPr>
          <w:trHeight w:val="224"/>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4"/>
          </w:tcPr>
          <w:p>
            <w:pPr>
              <w:jc w:val="right"/>
              <w:ind w:right="799"/>
              <w:spacing w:after="0"/>
              <w:rPr>
                <w:sz w:val="20"/>
                <w:szCs w:val="20"/>
                <w:color w:val="auto"/>
              </w:rPr>
            </w:pPr>
            <w:r>
              <w:rPr>
                <w:rFonts w:ascii="Arial" w:cs="Arial" w:eastAsia="Arial" w:hAnsi="Arial"/>
                <w:sz w:val="16"/>
                <w:szCs w:val="16"/>
                <w:b w:val="1"/>
                <w:bCs w:val="1"/>
                <w:i w:val="1"/>
                <w:iCs w:val="1"/>
                <w:color w:val="auto"/>
              </w:rPr>
              <w:t>except per-share data)</w:t>
            </w:r>
          </w:p>
        </w:tc>
      </w:tr>
      <w:tr>
        <w:trPr>
          <w:trHeight w:val="253"/>
        </w:trPr>
        <w:tc>
          <w:tcPr>
            <w:tcW w:w="7900" w:type="dxa"/>
            <w:vAlign w:val="bottom"/>
            <w:shd w:val="clear" w:color="auto" w:fill="CCEEFF"/>
          </w:tcPr>
          <w:p>
            <w:pPr>
              <w:ind w:left="538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3,186</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2,524</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Restricted investments</w:t>
            </w:r>
          </w:p>
        </w:tc>
        <w:tc>
          <w:tcPr>
            <w:tcW w:w="20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871</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asset</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Property, equipment, and capitalized software, net</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342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Restricted investments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7900" w:type="dxa"/>
            <w:vAlign w:val="bottom"/>
            <w:shd w:val="clear" w:color="auto" w:fill="CCEEFF"/>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Medical claims and benefits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Amounts due government agencies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1,542</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liability</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1,318</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obligations</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6,490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7,134</w:t>
            </w:r>
          </w:p>
        </w:tc>
      </w:tr>
      <w:tr>
        <w:trPr>
          <w:trHeight w:val="25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$0.001 par value, 150 shares authorized; outstanding: 62 shares at September 30, 2018</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4"/>
        </w:trPr>
        <w:tc>
          <w:tcPr>
            <w:tcW w:w="7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and 60 shares at December 31, 2017</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Preferred stock, $0.001 par value; 20 shares authorized, no shares issued and outstanding</w:t>
            </w: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7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9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3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7"/>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i w:val="1"/>
                <w:i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2"/>
                <w:szCs w:val="22"/>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(used in) provided by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activities: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restructuring costs</w:t>
            </w:r>
          </w:p>
        </w:tc>
        <w:tc>
          <w:tcPr>
            <w:tcW w:w="8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Amortization of convertible senior notes and lease financing obligations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subsidiary</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8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280"/>
              <w:spacing w:after="0"/>
              <w:rPr>
                <w:sz w:val="20"/>
                <w:szCs w:val="20"/>
                <w:color w:val="auto"/>
              </w:rPr>
            </w:pPr>
            <w:r>
              <w:rPr>
                <w:rFonts w:ascii="Arial" w:cs="Arial" w:eastAsia="Arial" w:hAnsi="Arial"/>
                <w:sz w:val="16"/>
                <w:szCs w:val="16"/>
                <w:color w:val="auto"/>
              </w:rPr>
              <w:t>Receivables</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60"/>
        </w:trPr>
        <w:tc>
          <w:tcPr>
            <w:tcW w:w="5620" w:type="dxa"/>
            <w:vAlign w:val="bottom"/>
          </w:tcPr>
          <w:p>
            <w:pPr>
              <w:ind w:left="280"/>
              <w:spacing w:after="0"/>
              <w:rPr>
                <w:sz w:val="20"/>
                <w:szCs w:val="20"/>
                <w:color w:val="auto"/>
              </w:rPr>
            </w:pPr>
            <w:r>
              <w:rPr>
                <w:rFonts w:ascii="Arial" w:cs="Arial" w:eastAsia="Arial" w:hAnsi="Arial"/>
                <w:sz w:val="16"/>
                <w:szCs w:val="16"/>
                <w:color w:val="auto"/>
              </w:rPr>
              <w:t>Medical claims and benefits payable</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due government agencies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60"/>
        </w:trPr>
        <w:tc>
          <w:tcPr>
            <w:tcW w:w="56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Proceeds from sales and maturities of investments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equipment, and capitalized software</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credit facility</w:t>
            </w:r>
          </w:p>
        </w:tc>
        <w:tc>
          <w:tcPr>
            <w:tcW w:w="8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Repayment of principal amount of 1.125% Notes</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settlement of 1.125% Conversion Option</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received for partial termination of 1.125% Call Option</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partial termination of 1.125% Warrants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Repayment of principal amount of 1.625% Notes</w:t>
            </w:r>
          </w:p>
        </w:tc>
        <w:tc>
          <w:tcPr>
            <w:tcW w:w="8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senior notes offerings, net of issuance costs</w:t>
            </w:r>
          </w:p>
        </w:tc>
        <w:tc>
          <w:tcPr>
            <w:tcW w:w="8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Proceeds from borrowings under credit facility</w:t>
            </w:r>
          </w:p>
        </w:tc>
        <w:tc>
          <w:tcPr>
            <w:tcW w:w="8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 and</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equivalents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8"/>
        </w:trPr>
        <w:tc>
          <w:tcPr>
            <w:tcW w:w="56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and cash equivalents at</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period</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3,499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20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and cash equivalents at end of</w:t>
            </w:r>
          </w:p>
        </w:tc>
        <w:tc>
          <w:tcPr>
            <w:tcW w:w="860" w:type="dxa"/>
            <w:vAlign w:val="bottom"/>
            <w:vMerge w:val="restart"/>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9"/>
              </w:rPr>
              <w:t>2,908</w:t>
            </w:r>
          </w:p>
        </w:tc>
        <w:tc>
          <w:tcPr>
            <w:tcW w:w="1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4,025</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period</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151"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-MORE-</w:t>
      </w:r>
    </w:p>
    <w:p>
      <w:pPr>
        <w:sectPr>
          <w:pgSz w:w="11900" w:h="16838" w:orient="portrait"/>
          <w:cols w:equalWidth="0" w:num="1">
            <w:col w:w="11420"/>
          </w:cols>
          <w:pgMar w:left="240" w:top="355" w:right="239" w:bottom="1151"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HEALTH PLANS SEGMENT MEMBERSHIP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82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w:t>
            </w: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83"/>
        </w:trPr>
        <w:tc>
          <w:tcPr>
            <w:tcW w:w="6060" w:type="dxa"/>
            <w:vAlign w:val="bottom"/>
          </w:tcPr>
          <w:p>
            <w:pPr>
              <w:spacing w:after="0"/>
              <w:rPr>
                <w:sz w:val="24"/>
                <w:szCs w:val="24"/>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Ending Membership by Program:</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Temporary Assistance for Needy Families (TANF) and Children’s Health Insurance</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Program (CHIP)</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2,436,000</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2,457,000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2,451,000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664,000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668,000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662,000</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Aged, Blind or Disabled (ABD)</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415,000</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412,000</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411,000</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3,515,000</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3,537,000</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3,524,000</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Medicare-Medicaid Plan (MMP) - Integrated</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55,000</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57,000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58,000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 Special Needs Plans</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45,000</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44,000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44,000</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101,000</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102,000</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Medicaid and Medicare</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3,615,000</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3,638,000</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3,626,000</w:t>
            </w: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384,000</w:t>
            </w:r>
          </w:p>
        </w:tc>
        <w:tc>
          <w:tcPr>
            <w:tcW w:w="12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815,000</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877,000</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3,999,000</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4,453,000</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4,503,000</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Ending Membership by Health Plan:</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623,000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746,000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Florida</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395,000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625,000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641,000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223,000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Michigan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394,000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398,000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399,000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234,000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Ohio</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315,000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327,000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343,000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320,000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117,000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116,000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113,000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436,000</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444,000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770,000</w:t>
            </w:r>
          </w:p>
        </w:tc>
        <w:tc>
          <w:tcPr>
            <w:tcW w:w="12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777,000</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770,000</w:t>
            </w:r>
          </w:p>
        </w:tc>
        <w:tc>
          <w:tcPr>
            <w:tcW w:w="0" w:type="dxa"/>
            <w:vAlign w:val="bottom"/>
          </w:tcPr>
          <w:p>
            <w:pPr>
              <w:spacing w:after="0"/>
              <w:rPr>
                <w:sz w:val="1"/>
                <w:szCs w:val="1"/>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172,000</w:t>
            </w:r>
          </w:p>
        </w:tc>
        <w:tc>
          <w:tcPr>
            <w:tcW w:w="12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302,000</w:t>
            </w: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317,000</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3,999,000</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4,453,000</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4,503,000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  “Other” includes the Idaho, New York, Utah and Wisconsin health plans, which are not individually significant to our consolidated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both"/>
        <w:ind w:left="2720" w:right="2720" w:firstLine="6"/>
        <w:spacing w:after="0" w:line="291" w:lineRule="auto"/>
        <w:rPr>
          <w:sz w:val="20"/>
          <w:szCs w:val="20"/>
          <w:color w:val="auto"/>
        </w:rPr>
      </w:pPr>
      <w:r>
        <w:rPr>
          <w:rFonts w:ascii="Arial" w:cs="Arial" w:eastAsia="Arial" w:hAnsi="Arial"/>
          <w:sz w:val="17"/>
          <w:szCs w:val="17"/>
          <w:b w:val="1"/>
          <w:bCs w:val="1"/>
          <w:color w:val="auto"/>
        </w:rPr>
        <w:t xml:space="preserve">UNAUDITED SELECTED HEALTH PLANS SEGMENT FINANCIAL DATA </w:t>
      </w:r>
      <w:r>
        <w:rPr>
          <w:rFonts w:ascii="Arial" w:cs="Arial" w:eastAsia="Arial" w:hAnsi="Arial"/>
          <w:sz w:val="17"/>
          <w:szCs w:val="17"/>
          <w:b w:val="1"/>
          <w:bCs w:val="1"/>
          <w:i w:val="1"/>
          <w:iCs w:val="1"/>
          <w:color w:val="auto"/>
        </w:rPr>
        <w:t>(In millions, except percentages and per-member per-month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6"/>
                <w:szCs w:val="16"/>
                <w:b w:val="1"/>
                <w:bCs w:val="1"/>
                <w:color w:val="auto"/>
              </w:rPr>
              <w:t>Three Months Ended September 30, 2018</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Medical</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280"/>
              <w:spacing w:after="0" w:line="234"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166.41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333.11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317.62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1,054.92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946.38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316.86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286.86</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2,159.72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1,981.45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1,157.71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895.25</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1,706.95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1,490.63</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354.70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319.63</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394.02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252.61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358.46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313.23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6"/>
                <w:szCs w:val="16"/>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Medical</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4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6"/>
              </w:rPr>
              <w:t xml:space="preserve">Months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280"/>
              <w:spacing w:after="0" w:line="234" w:lineRule="exact"/>
              <w:rPr>
                <w:sz w:val="20"/>
                <w:szCs w:val="20"/>
                <w:color w:val="auto"/>
              </w:rPr>
            </w:pPr>
            <w:r>
              <w:rPr>
                <w:rFonts w:ascii="Arial" w:cs="Arial" w:eastAsia="Arial" w:hAnsi="Arial"/>
                <w:sz w:val="16"/>
                <w:szCs w:val="16"/>
                <w:b w:val="1"/>
                <w:bCs w:val="1"/>
                <w:color w:val="auto"/>
              </w:rPr>
              <w:t xml:space="preserve">MCR </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165.76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385.58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332.99</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1,016.06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321.77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295.23</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2,263.07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2,013.67</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1,231.61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951.01</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77.2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1,806.26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1,543.05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362.04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3,630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329.08</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301.72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227.22</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350.55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4,220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309.68</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member month is defined as the aggregate of each month’s ending membership for the period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MCR represents medical costs as a percentage of premium revenue.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both"/>
        <w:ind w:left="2720" w:right="2720" w:firstLine="6"/>
        <w:spacing w:after="0" w:line="291" w:lineRule="auto"/>
        <w:rPr>
          <w:sz w:val="20"/>
          <w:szCs w:val="20"/>
          <w:color w:val="auto"/>
        </w:rPr>
      </w:pPr>
      <w:r>
        <w:rPr>
          <w:rFonts w:ascii="Arial" w:cs="Arial" w:eastAsia="Arial" w:hAnsi="Arial"/>
          <w:sz w:val="17"/>
          <w:szCs w:val="17"/>
          <w:b w:val="1"/>
          <w:bCs w:val="1"/>
          <w:color w:val="auto"/>
        </w:rPr>
        <w:t xml:space="preserve">UNAUDITED SELECTED HEALTH PLANS SEGMENT FINANCIAL DATA </w:t>
      </w:r>
      <w:r>
        <w:rPr>
          <w:rFonts w:ascii="Arial" w:cs="Arial" w:eastAsia="Arial" w:hAnsi="Arial"/>
          <w:sz w:val="17"/>
          <w:szCs w:val="17"/>
          <w:b w:val="1"/>
          <w:bCs w:val="1"/>
          <w:i w:val="1"/>
          <w:iCs w:val="1"/>
          <w:color w:val="auto"/>
        </w:rPr>
        <w:t>(In millions, except percentages and per-member per-month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Nine Months Ended September 30, 2018</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Medical</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4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166.35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359.37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322.01</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1,034.25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950.11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10,193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317.70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287.10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2,173.90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1,899.26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1,171.59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959.54</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1,725.71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1,479.06</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11,740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355.96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319.50</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379.91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218.44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13,174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358.42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309.12</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4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Member</w:t>
            </w:r>
          </w:p>
        </w:tc>
        <w:tc>
          <w:tcPr>
            <w:tcW w:w="280" w:type="dxa"/>
            <w:vAlign w:val="bottom"/>
          </w:tcPr>
          <w:p>
            <w:pPr>
              <w:spacing w:after="0"/>
              <w:rPr>
                <w:sz w:val="22"/>
                <w:szCs w:val="22"/>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Premium Revenue</w:t>
            </w:r>
          </w:p>
        </w:tc>
        <w:tc>
          <w:tcPr>
            <w:tcW w:w="280" w:type="dxa"/>
            <w:vAlign w:val="bottom"/>
          </w:tcPr>
          <w:p>
            <w:pPr>
              <w:spacing w:after="0"/>
              <w:rPr>
                <w:sz w:val="22"/>
                <w:szCs w:val="22"/>
                <w:color w:val="auto"/>
              </w:rPr>
            </w:pPr>
          </w:p>
        </w:tc>
        <w:tc>
          <w:tcPr>
            <w:tcW w:w="23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Medical</w:t>
            </w: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4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MCR</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TANF and CHIP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183.69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169.44</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Medicaid Expansion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389.14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334.93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1,033.45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996.58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Medicaid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317.49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293.21</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MMP</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1,974.22</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1,142.68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939.21</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Medicare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1,726.39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1,516.09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Medicaid and Medicare</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354.88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325.66</w:t>
            </w:r>
          </w:p>
        </w:tc>
        <w:tc>
          <w:tcPr>
            <w:tcW w:w="1180" w:type="dxa"/>
            <w:vAlign w:val="bottom"/>
            <w:tcBorders>
              <w:bottom w:val="single" w:sz="8" w:color="CCEEFF"/>
            </w:tcBorders>
            <w:gridSpan w:val="2"/>
          </w:tcPr>
          <w:p>
            <w:pPr>
              <w:ind w:left="700"/>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276.27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232.31</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14,165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339.19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307.03</w:t>
            </w:r>
          </w:p>
        </w:tc>
        <w:tc>
          <w:tcPr>
            <w:tcW w:w="1180" w:type="dxa"/>
            <w:vAlign w:val="bottom"/>
            <w:gridSpan w:val="2"/>
          </w:tcPr>
          <w:p>
            <w:pPr>
              <w:ind w:left="700"/>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MEDICAID AND MEDICARE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31750</wp:posOffset>
            </wp:positionV>
            <wp:extent cx="615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19"/>
                <w:szCs w:val="19"/>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363.16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339.33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274.98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282.49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426.69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624.84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568.93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171.96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318.56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772.14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226.77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197.04</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261.49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3,881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354.70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3,498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319.63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355.59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356.83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289.36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337.17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298.83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390.91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560.06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492.61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168.25</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297.74</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728.19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236.11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256.99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1"/>
        </w:trPr>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3,994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362.04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3,630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329.08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w w:val="94"/>
              </w:rPr>
              <w:t>__________________</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includes the Idaho, New York, Utah and Wisconsin health plans, which are not individually significant to our consolidated operating results.</w:t>
      </w:r>
    </w:p>
    <w:p>
      <w:pPr>
        <w:spacing w:after="0" w:line="245" w:lineRule="exact"/>
        <w:rPr>
          <w:rFonts w:ascii="Arial" w:cs="Arial" w:eastAsia="Arial" w:hAnsi="Arial"/>
          <w:sz w:val="16"/>
          <w:szCs w:val="16"/>
          <w:color w:val="auto"/>
        </w:rPr>
      </w:pPr>
    </w:p>
    <w:p>
      <w:pPr>
        <w:ind w:left="5380"/>
        <w:spacing w:after="0"/>
        <w:rPr>
          <w:rFonts w:ascii="Arial" w:cs="Arial" w:eastAsia="Arial" w:hAnsi="Arial"/>
          <w:sz w:val="16"/>
          <w:szCs w:val="16"/>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MEDICAID AND MEDICARE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2018</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356.15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331.93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265.47</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290.26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438.70</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590.71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521.26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173.83</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306.76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831.21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753.31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245.40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227.41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3"/>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323.84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269.98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11,740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355.96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10,538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319.50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283.82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347.41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341.15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312.54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332.60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296.28</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410.24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541.56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486.02</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177.01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325.43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298.43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701.32</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275.60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240.83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73"/>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261.01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354.88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10,885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325.66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DATA—MARKETPLACE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31750</wp:posOffset>
            </wp:positionV>
            <wp:extent cx="6157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19"/>
                <w:szCs w:val="19"/>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235.63</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548.60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362.39</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145.13</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419.20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249.33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336.86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357.54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209.80</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518.75</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3"/>
                <w:szCs w:val="23"/>
                <w:color w:val="auto"/>
              </w:rPr>
            </w:pPr>
          </w:p>
        </w:tc>
        <w:tc>
          <w:tcPr>
            <w:tcW w:w="1420" w:type="dxa"/>
            <w:vAlign w:val="bottom"/>
            <w:gridSpan w:val="2"/>
          </w:tcPr>
          <w:p>
            <w:pPr>
              <w:ind w:left="880"/>
              <w:spacing w:after="0"/>
              <w:rPr>
                <w:sz w:val="20"/>
                <w:szCs w:val="20"/>
                <w:color w:val="auto"/>
              </w:rPr>
            </w:pPr>
            <w:r>
              <w:rPr>
                <w:rFonts w:ascii="Arial" w:cs="Arial" w:eastAsia="Arial" w:hAnsi="Arial"/>
                <w:sz w:val="16"/>
                <w:szCs w:val="16"/>
                <w:color w:val="auto"/>
              </w:rPr>
              <w:t>NM</w:t>
            </w:r>
          </w:p>
        </w:tc>
        <w:tc>
          <w:tcPr>
            <w:tcW w:w="5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4"/>
        </w:trPr>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252.61</w:t>
            </w:r>
          </w:p>
        </w:tc>
        <w:tc>
          <w:tcPr>
            <w:tcW w:w="142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147.87</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283.13</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150.24</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383.58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269.28</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364.31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291.14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172.70</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256.52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375.83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259.15</w:t>
            </w:r>
          </w:p>
        </w:tc>
        <w:tc>
          <w:tcPr>
            <w:tcW w:w="1420" w:type="dxa"/>
            <w:vAlign w:val="bottom"/>
            <w:gridSpan w:val="2"/>
          </w:tcPr>
          <w:p>
            <w:pPr>
              <w:ind w:left="92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4"/>
        </w:trPr>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783</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227.22</w:t>
            </w:r>
          </w:p>
        </w:tc>
        <w:tc>
          <w:tcPr>
            <w:tcW w:w="142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75.3%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w w:val="94"/>
              </w:rPr>
              <w:t>__________________</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includes the Utah and Wisconsin health plans, which are not individually significant to our consolidated operating results. We terminated Marketplace operations at these plans effective January 1, 2018, so the ratios for 2018 periods are not meaningful (NM).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DATA—MARKETPLACE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2018</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491.13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155.24</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145.38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426.07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247.57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324.91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330.92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214.65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497.00</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4"/>
        </w:trPr>
        <w:tc>
          <w:tcPr>
            <w:tcW w:w="1720" w:type="dxa"/>
            <w:vAlign w:val="bottom"/>
          </w:tcPr>
          <w:p>
            <w:pPr>
              <w:ind w:left="40"/>
              <w:spacing w:after="0"/>
              <w:rPr>
                <w:sz w:val="20"/>
                <w:szCs w:val="20"/>
                <w:color w:val="auto"/>
              </w:rPr>
            </w:pPr>
            <w:r>
              <w:rPr>
                <w:rFonts w:ascii="Arial" w:cs="Arial" w:eastAsia="Arial" w:hAnsi="Arial"/>
                <w:sz w:val="16"/>
                <w:szCs w:val="16"/>
                <w:color w:val="auto"/>
              </w:rPr>
              <w:t>Other</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NM</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2"/>
                <w:szCs w:val="22"/>
                <w:color w:val="auto"/>
              </w:rPr>
            </w:pPr>
          </w:p>
        </w:tc>
        <w:tc>
          <w:tcPr>
            <w:tcW w:w="1420" w:type="dxa"/>
            <w:vAlign w:val="bottom"/>
            <w:gridSpan w:val="2"/>
          </w:tcPr>
          <w:p>
            <w:pPr>
              <w:ind w:left="880"/>
              <w:spacing w:after="0"/>
              <w:rPr>
                <w:sz w:val="20"/>
                <w:szCs w:val="20"/>
                <w:color w:val="auto"/>
              </w:rPr>
            </w:pPr>
            <w:r>
              <w:rPr>
                <w:rFonts w:ascii="Arial" w:cs="Arial" w:eastAsia="Arial" w:hAnsi="Arial"/>
                <w:sz w:val="16"/>
                <w:szCs w:val="16"/>
                <w:color w:val="auto"/>
              </w:rPr>
              <w:t>NM</w:t>
            </w: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0"/>
        </w:trPr>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1,434</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218.44</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296.14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273.55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126.76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338.18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256.05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Ohio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346.93</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252.32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171.57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327.51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333.05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316.86</w:t>
            </w:r>
          </w:p>
        </w:tc>
        <w:tc>
          <w:tcPr>
            <w:tcW w:w="142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0"/>
        </w:trPr>
        <w:tc>
          <w:tcPr>
            <w:tcW w:w="17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DATA—TOTAL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31750</wp:posOffset>
            </wp:positionV>
            <wp:extent cx="6157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19"/>
                <w:szCs w:val="19"/>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382.20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341.70</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274.98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345.28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276.88</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409.68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616.95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555.83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171.96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318.56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500.14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239.25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206.38</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260.19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4,337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358.46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3,790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313.23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Three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Florida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337.40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325.09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289.36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330.27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290.63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378.98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550.75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485.61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168.25</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297.74</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463.83</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60"/>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279.52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237.23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80"/>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257.86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1"/>
        </w:trPr>
        <w:tc>
          <w:tcPr>
            <w:tcW w:w="1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4,777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350.55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4,220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309.68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w w:val="94"/>
              </w:rPr>
              <w:t>__________________</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includes the Idaho, New York, Utah and Wisconsin health plans, which are not individually significant to our consolidated operating results.</w:t>
      </w:r>
    </w:p>
    <w:p>
      <w:pPr>
        <w:spacing w:after="0" w:line="245" w:lineRule="exact"/>
        <w:rPr>
          <w:rFonts w:ascii="Arial" w:cs="Arial" w:eastAsia="Arial" w:hAnsi="Arial"/>
          <w:sz w:val="16"/>
          <w:szCs w:val="16"/>
          <w:color w:val="auto"/>
        </w:rPr>
      </w:pPr>
    </w:p>
    <w:p>
      <w:pPr>
        <w:ind w:left="5380"/>
        <w:spacing w:after="0"/>
        <w:rPr>
          <w:rFonts w:ascii="Arial" w:cs="Arial" w:eastAsia="Arial" w:hAnsi="Arial"/>
          <w:sz w:val="16"/>
          <w:szCs w:val="16"/>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SELECTED HEALTH PLANS SEGMENT FINANCIAL DATA—TOTAL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percentages and per-member per-month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2018</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372.07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311.09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265.47</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338.83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283.77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419.78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583.29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509.52</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173.83</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306.76</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484.70</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257.82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235.59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3"/>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334.26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262.27</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13,174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358.42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11,362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309.12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1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September 30, 2017</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Member</w:t>
            </w:r>
          </w:p>
        </w:tc>
        <w:tc>
          <w:tcPr>
            <w:tcW w:w="300" w:type="dxa"/>
            <w:vAlign w:val="bottom"/>
          </w:tcPr>
          <w:p>
            <w:pPr>
              <w:spacing w:after="0"/>
              <w:rPr>
                <w:sz w:val="22"/>
                <w:szCs w:val="22"/>
                <w:color w:val="auto"/>
              </w:rPr>
            </w:pPr>
          </w:p>
        </w:tc>
        <w:tc>
          <w:tcPr>
            <w:tcW w:w="2520" w:type="dxa"/>
            <w:vAlign w:val="bottom"/>
            <w:gridSpan w:val="5"/>
          </w:tcPr>
          <w:p>
            <w:pPr>
              <w:ind w:left="360"/>
              <w:spacing w:after="0"/>
              <w:rPr>
                <w:sz w:val="20"/>
                <w:szCs w:val="20"/>
                <w:color w:val="auto"/>
              </w:rPr>
            </w:pPr>
            <w:r>
              <w:rPr>
                <w:rFonts w:ascii="Arial" w:cs="Arial" w:eastAsia="Arial" w:hAnsi="Arial"/>
                <w:sz w:val="16"/>
                <w:szCs w:val="16"/>
                <w:b w:val="1"/>
                <w:bCs w:val="1"/>
                <w:color w:val="auto"/>
              </w:rPr>
              <w:t>Premium Revenue</w:t>
            </w:r>
          </w:p>
        </w:tc>
        <w:tc>
          <w:tcPr>
            <w:tcW w:w="320" w:type="dxa"/>
            <w:vAlign w:val="bottom"/>
          </w:tcPr>
          <w:p>
            <w:pPr>
              <w:spacing w:after="0"/>
              <w:rPr>
                <w:sz w:val="22"/>
                <w:szCs w:val="22"/>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Medical Care Costs</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Months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PMPM</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MCR</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Medical Margin</w:t>
            </w: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Florida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310.09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312.54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Michigan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324.12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286.35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Mexico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394.66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Ohio</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531.17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477.81</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Puerto Rico</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177.01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325.43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298.43</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0"/>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Texas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439.11</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60"/>
        </w:trPr>
        <w:tc>
          <w:tcPr>
            <w:tcW w:w="1720" w:type="dxa"/>
            <w:vAlign w:val="bottom"/>
          </w:tcPr>
          <w:p>
            <w:pPr>
              <w:ind w:left="40"/>
              <w:spacing w:after="0"/>
              <w:rPr>
                <w:sz w:val="20"/>
                <w:szCs w:val="20"/>
                <w:color w:val="auto"/>
              </w:rPr>
            </w:pPr>
            <w:r>
              <w:rPr>
                <w:rFonts w:ascii="Arial" w:cs="Arial" w:eastAsia="Arial" w:hAnsi="Arial"/>
                <w:sz w:val="16"/>
                <w:szCs w:val="16"/>
                <w:color w:val="auto"/>
              </w:rPr>
              <w:t>Washington</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277.83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245.62</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3"/>
        </w:trPr>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284.16</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0"/>
        </w:trPr>
        <w:tc>
          <w:tcPr>
            <w:tcW w:w="172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14,165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339.19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12,822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307.03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both"/>
        <w:ind w:left="2720" w:right="2720" w:firstLine="6"/>
        <w:spacing w:after="0" w:line="291" w:lineRule="auto"/>
        <w:rPr>
          <w:sz w:val="20"/>
          <w:szCs w:val="20"/>
          <w:color w:val="auto"/>
        </w:rPr>
      </w:pPr>
      <w:r>
        <w:rPr>
          <w:rFonts w:ascii="Arial" w:cs="Arial" w:eastAsia="Arial" w:hAnsi="Arial"/>
          <w:sz w:val="17"/>
          <w:szCs w:val="17"/>
          <w:b w:val="1"/>
          <w:bCs w:val="1"/>
          <w:color w:val="auto"/>
        </w:rPr>
        <w:t xml:space="preserve">UNAUDITED SELECTED HEALTH PLANS SEGMENT FINANCIAL DATA </w:t>
      </w:r>
      <w:r>
        <w:rPr>
          <w:rFonts w:ascii="Arial" w:cs="Arial" w:eastAsia="Arial" w:hAnsi="Arial"/>
          <w:sz w:val="17"/>
          <w:szCs w:val="17"/>
          <w:b w:val="1"/>
          <w:bCs w:val="1"/>
          <w:i w:val="1"/>
          <w:iCs w:val="1"/>
          <w:color w:val="auto"/>
        </w:rPr>
        <w:t>(In millions, except percentages and per-member per-month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the details of our medical care costs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98"/>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ind w:left="600"/>
              <w:spacing w:after="0"/>
              <w:rPr>
                <w:sz w:val="20"/>
                <w:szCs w:val="20"/>
                <w:color w:val="auto"/>
              </w:rPr>
            </w:pPr>
            <w:r>
              <w:rPr>
                <w:rFonts w:ascii="Arial" w:cs="Arial" w:eastAsia="Arial" w:hAnsi="Arial"/>
                <w:sz w:val="16"/>
                <w:szCs w:val="16"/>
                <w:b w:val="1"/>
                <w:bCs w:val="1"/>
                <w:color w:val="auto"/>
              </w:rPr>
              <w:t>% of</w:t>
            </w:r>
          </w:p>
        </w:tc>
      </w:tr>
      <w:tr>
        <w:trPr>
          <w:trHeight w:val="228"/>
        </w:trPr>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PMPM</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Total</w:t>
            </w:r>
          </w:p>
        </w:tc>
      </w:tr>
      <w:tr>
        <w:trPr>
          <w:trHeight w:val="257"/>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236.74</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234.51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40.90</w:t>
            </w:r>
          </w:p>
        </w:tc>
        <w:tc>
          <w:tcPr>
            <w:tcW w:w="12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46.85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15.1</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24.52</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11.07</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3.25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313.23</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309.68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94"/>
        </w:trPr>
        <w:tc>
          <w:tcPr>
            <w:tcW w:w="1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4"/>
        </w:trPr>
        <w:tc>
          <w:tcPr>
            <w:tcW w:w="1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198"/>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ind w:left="600"/>
              <w:spacing w:after="0"/>
              <w:rPr>
                <w:sz w:val="20"/>
                <w:szCs w:val="20"/>
                <w:color w:val="auto"/>
              </w:rPr>
            </w:pPr>
            <w:r>
              <w:rPr>
                <w:rFonts w:ascii="Arial" w:cs="Arial" w:eastAsia="Arial" w:hAnsi="Arial"/>
                <w:sz w:val="16"/>
                <w:szCs w:val="16"/>
                <w:b w:val="1"/>
                <w:bCs w:val="1"/>
                <w:color w:val="auto"/>
              </w:rPr>
              <w:t>% of</w:t>
            </w:r>
          </w:p>
        </w:tc>
      </w:tr>
      <w:tr>
        <w:trPr>
          <w:trHeight w:val="228"/>
        </w:trPr>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PMPM</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PMPM</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Total</w:t>
            </w:r>
          </w:p>
        </w:tc>
      </w:tr>
      <w:tr>
        <w:trPr>
          <w:trHeight w:val="257"/>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 for service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230.46</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230.58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w:t>
            </w: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44.76</w:t>
            </w:r>
          </w:p>
        </w:tc>
        <w:tc>
          <w:tcPr>
            <w:tcW w:w="12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45.60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14.8</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24.47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r>
      <w:tr>
        <w:trPr>
          <w:trHeight w:val="264"/>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6.38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309.12</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307.03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311"/>
        </w:trPr>
        <w:tc>
          <w:tcPr>
            <w:tcW w:w="9720" w:type="dxa"/>
            <w:vAlign w:val="bottom"/>
            <w:gridSpan w:val="16"/>
          </w:tcPr>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94"/>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8"/>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19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57"/>
        </w:trPr>
        <w:tc>
          <w:tcPr>
            <w:tcW w:w="38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Fee-for-service claims incurred but not paid (IBNP)</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1,717</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Pharmacy payable</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Capitation payable</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70"/>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r>
      <w:tr>
        <w:trPr>
          <w:trHeight w:val="230"/>
        </w:trPr>
        <w:tc>
          <w:tcPr>
            <w:tcW w:w="1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0" w:lineRule="exact"/>
        <w:rPr>
          <w:sz w:val="20"/>
          <w:szCs w:val="20"/>
          <w:color w:val="auto"/>
        </w:rPr>
      </w:pPr>
    </w:p>
    <w:p>
      <w:pPr>
        <w:ind w:left="340" w:right="2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medical claims and benefits payable include amounts payable to certain providers for which we act as an intermediary on behalf of various state agencies without assuming financial risk. Such receipts and payments do not impact our consolidated statements of operations. As of September 30, 2018 and December 31, 2017, we had recorded non-risk provider payables of approximately $158 million and $122 million, respectively.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CHANGE IN MEDICAL CLAIMS AND BENEFITS PAYABLE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millions, except per-member amounts)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claims liability includes a provision for adverse claims deviation based on historical experience and other factors including, but not limited to, variations in claims payment patterns, changes in utilization and cost trends, known outbreaks of disease, and large claims. Our reserving methodology is consistently applied across all periods presented. The amounts displayed for “Components of medical care costs related to: Prior period” represent the amount by which our original estimate of claims and benefits payable at the beginning of the period was (more) less than the actual amount of the liability based on information (principally the payment of claims) developed since that liability was first reported. The following table presents the components of the change in medical claims and benefits payable for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3880" w:type="dxa"/>
            <w:vAlign w:val="bottom"/>
            <w:gridSpan w:val="6"/>
          </w:tcPr>
          <w:p>
            <w:pPr>
              <w:ind w:left="56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Pr>
          <w:p>
            <w:pPr>
              <w:spacing w:after="0"/>
              <w:rPr>
                <w:sz w:val="19"/>
                <w:szCs w:val="19"/>
                <w:color w:val="auto"/>
              </w:rPr>
            </w:pPr>
          </w:p>
        </w:tc>
        <w:tc>
          <w:tcPr>
            <w:tcW w:w="16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Medical claims and benefits payable, beginning balance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Components of medical care costs related to:</w:t>
            </w: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period</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11,589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17,037</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Prior period </w:t>
            </w:r>
            <w:r>
              <w:rPr>
                <w:rFonts w:ascii="Arial" w:cs="Arial" w:eastAsia="Arial" w:hAnsi="Arial"/>
                <w:sz w:val="21"/>
                <w:szCs w:val="21"/>
                <w:color w:val="auto"/>
                <w:vertAlign w:val="superscript"/>
              </w:rPr>
              <w:t>(1)</w:t>
            </w:r>
          </w:p>
        </w:tc>
        <w:tc>
          <w:tcPr>
            <w:tcW w:w="1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medical care costs</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11,362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12,822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17,073</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non-risk provider payables</w:t>
            </w:r>
          </w:p>
        </w:tc>
        <w:tc>
          <w:tcPr>
            <w:tcW w:w="1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4"/>
        </w:trPr>
        <w:tc>
          <w:tcPr>
            <w:tcW w:w="5720" w:type="dxa"/>
            <w:vAlign w:val="bottom"/>
          </w:tcPr>
          <w:p>
            <w:pPr>
              <w:ind w:left="40"/>
              <w:spacing w:after="0"/>
              <w:rPr>
                <w:sz w:val="20"/>
                <w:szCs w:val="20"/>
                <w:color w:val="auto"/>
              </w:rPr>
            </w:pPr>
            <w:r>
              <w:rPr>
                <w:rFonts w:ascii="Arial" w:cs="Arial" w:eastAsia="Arial" w:hAnsi="Arial"/>
                <w:sz w:val="16"/>
                <w:szCs w:val="16"/>
                <w:color w:val="auto"/>
              </w:rPr>
              <w:t>Payments for medical care costs related to:</w:t>
            </w: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period</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15,130</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Prior period</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paid</w:t>
            </w:r>
          </w:p>
        </w:tc>
        <w:tc>
          <w:tcPr>
            <w:tcW w:w="1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11,572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12,445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16,704</w:t>
            </w:r>
          </w:p>
        </w:tc>
        <w:tc>
          <w:tcPr>
            <w:tcW w:w="0" w:type="dxa"/>
            <w:vAlign w:val="bottom"/>
          </w:tcPr>
          <w:p>
            <w:pPr>
              <w:spacing w:after="0"/>
              <w:rPr>
                <w:sz w:val="1"/>
                <w:szCs w:val="1"/>
                <w:color w:val="auto"/>
              </w:rPr>
            </w:pPr>
          </w:p>
        </w:tc>
      </w:tr>
      <w:tr>
        <w:trPr>
          <w:trHeight w:val="28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Medical claims and benefits payable, ending balance</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00"/>
        </w:trPr>
        <w:tc>
          <w:tcPr>
            <w:tcW w:w="5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Days in claims payable, fee for service </w:t>
            </w:r>
            <w:r>
              <w:rPr>
                <w:rFonts w:ascii="Arial" w:cs="Arial" w:eastAsia="Arial" w:hAnsi="Arial"/>
                <w:sz w:val="21"/>
                <w:szCs w:val="21"/>
                <w:color w:val="auto"/>
                <w:vertAlign w:val="superscript"/>
              </w:rPr>
              <w:t>(2)</w:t>
            </w:r>
          </w:p>
        </w:tc>
        <w:tc>
          <w:tcPr>
            <w:tcW w:w="116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the 2018 benefit of the 2017 Marketplace CSR reimbursement.</w:t>
      </w:r>
    </w:p>
    <w:p>
      <w:pPr>
        <w:spacing w:after="0" w:line="5" w:lineRule="exact"/>
        <w:rPr>
          <w:rFonts w:ascii="Arial" w:cs="Arial" w:eastAsia="Arial" w:hAnsi="Arial"/>
          <w:sz w:val="16"/>
          <w:szCs w:val="16"/>
          <w:color w:val="auto"/>
        </w:rPr>
      </w:pPr>
    </w:p>
    <w:p>
      <w:pPr>
        <w:ind w:left="340" w:right="78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Claims payable includes primarily IBNP. It also includes certain fee-for-service payables reported in “Other” medical claims and benefits payable amounting to $34 million, $78 million and $99 million, as of September 30, 2018, 2017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SUMMARY OF SIGNIFICANT ITEMS AFFECTING CURRENT QUARTER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FINANCIAL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diluted share amounts)</w:t>
      </w:r>
    </w:p>
    <w:p>
      <w:pPr>
        <w:spacing w:after="0" w:line="33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table below summarizes the impact of certain items significant to our financial performance in the periods presented. The individual items presented below increase (decrease) income before income tax expense.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w:t>
            </w:r>
          </w:p>
        </w:tc>
        <w:tc>
          <w:tcPr>
            <w:tcW w:w="120" w:type="dxa"/>
            <w:vAlign w:val="bottom"/>
          </w:tcPr>
          <w:p>
            <w:pPr>
              <w:spacing w:after="0"/>
              <w:rPr>
                <w:sz w:val="16"/>
                <w:szCs w:val="16"/>
                <w:color w:val="auto"/>
              </w:rPr>
            </w:pPr>
          </w:p>
        </w:tc>
        <w:tc>
          <w:tcPr>
            <w:tcW w:w="25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Nine Months Ended September</w:t>
            </w:r>
          </w:p>
        </w:tc>
      </w:tr>
      <w:tr>
        <w:trPr>
          <w:trHeight w:val="228"/>
        </w:trPr>
        <w:tc>
          <w:tcPr>
            <w:tcW w:w="6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30, 2018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30, 2018</w:t>
            </w:r>
          </w:p>
        </w:tc>
      </w:tr>
      <w:tr>
        <w:trPr>
          <w:trHeight w:val="198"/>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Per Diluted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Per Diluted</w:t>
            </w:r>
          </w:p>
        </w:tc>
      </w:tr>
      <w:tr>
        <w:trPr>
          <w:trHeight w:val="234"/>
        </w:trPr>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3"/>
              </w:rPr>
              <w:t xml:space="preserve">Share </w:t>
            </w:r>
            <w:r>
              <w:rPr>
                <w:rFonts w:ascii="Arial" w:cs="Arial" w:eastAsia="Arial" w:hAnsi="Arial"/>
                <w:sz w:val="21"/>
                <w:szCs w:val="21"/>
                <w:b w:val="1"/>
                <w:bCs w:val="1"/>
                <w:color w:val="auto"/>
                <w:w w:val="93"/>
                <w:vertAlign w:val="superscript"/>
              </w:rPr>
              <w:t>(1)</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b w:val="1"/>
                <w:bCs w:val="1"/>
                <w:color w:val="auto"/>
                <w:vertAlign w:val="superscript"/>
              </w:rPr>
              <w:t>(1)</w:t>
            </w:r>
          </w:p>
        </w:tc>
      </w:tr>
      <w:tr>
        <w:trPr>
          <w:trHeight w:val="129"/>
        </w:trPr>
        <w:tc>
          <w:tcPr>
            <w:tcW w:w="6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8"/>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Retroactive California Medicaid Expansion risk corridor for the state fiscal year ended</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4"/>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June 30, 2017</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r>
      <w:tr>
        <w:trPr>
          <w:trHeight w:val="260"/>
        </w:trPr>
        <w:tc>
          <w:tcPr>
            <w:tcW w:w="6180" w:type="dxa"/>
            <w:vAlign w:val="bottom"/>
          </w:tcPr>
          <w:p>
            <w:pPr>
              <w:ind w:left="40"/>
              <w:spacing w:after="0"/>
              <w:rPr>
                <w:sz w:val="20"/>
                <w:szCs w:val="20"/>
                <w:color w:val="auto"/>
              </w:rPr>
            </w:pPr>
            <w:r>
              <w:rPr>
                <w:rFonts w:ascii="Arial" w:cs="Arial" w:eastAsia="Arial" w:hAnsi="Arial"/>
                <w:sz w:val="16"/>
                <w:szCs w:val="16"/>
                <w:color w:val="auto"/>
              </w:rPr>
              <w:t>Marketplace risk adjustment, for 2017 dates of service</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28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Marketplace CSR subsidies, for 2017 dates of service</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r>
      <w:tr>
        <w:trPr>
          <w:trHeight w:val="260"/>
        </w:trPr>
        <w:tc>
          <w:tcPr>
            <w:tcW w:w="6180" w:type="dxa"/>
            <w:vAlign w:val="bottom"/>
          </w:tcPr>
          <w:p>
            <w:pPr>
              <w:ind w:left="40"/>
              <w:spacing w:after="0"/>
              <w:rPr>
                <w:sz w:val="20"/>
                <w:szCs w:val="20"/>
                <w:color w:val="auto"/>
              </w:rPr>
            </w:pPr>
            <w:r>
              <w:rPr>
                <w:rFonts w:ascii="Arial" w:cs="Arial" w:eastAsia="Arial" w:hAnsi="Arial"/>
                <w:sz w:val="16"/>
                <w:szCs w:val="16"/>
                <w:color w:val="auto"/>
              </w:rPr>
              <w:t>Gain on sale of subsidiary</w:t>
            </w:r>
          </w:p>
        </w:tc>
        <w:tc>
          <w:tcPr>
            <w:tcW w:w="2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28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on debt extinguishment</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r>
      <w:tr>
        <w:trPr>
          <w:trHeight w:val="237"/>
        </w:trPr>
        <w:tc>
          <w:tcPr>
            <w:tcW w:w="6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hanging="332"/>
        <w:spacing w:after="0" w:line="25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for certain items that are not deductible for tax purposes, per diluted share amounts are generally calculated at the statutory income tax rate of 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NON-GAAP FINANCIAL MEASURES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non-generally accepted accounting principles, or non -GAAP, financial measures as supplemental metrics in evaluating our financial performance, making financing and business decisions, and forecasting and planning for future periods. For these reasons, management believes such measures are useful supplemental measures to investors in comparing our performance to the performance of other public companies in the health care industry. These non-GAAP financial measures should be considered as supplements to, and not as substitutes for or superior to, GAAP measures. See further information regarding non-GAAP measures below the tables (in millions, except per diluted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10"/>
          </w:tcPr>
          <w:p>
            <w:pPr>
              <w:jc w:val="right"/>
              <w:ind w:right="380"/>
              <w:spacing w:after="0"/>
              <w:rPr>
                <w:sz w:val="20"/>
                <w:szCs w:val="20"/>
                <w:color w:val="auto"/>
              </w:rPr>
            </w:pPr>
            <w:r>
              <w:rPr>
                <w:rFonts w:ascii="Arial" w:cs="Arial" w:eastAsia="Arial" w:hAnsi="Arial"/>
                <w:sz w:val="16"/>
                <w:szCs w:val="16"/>
                <w:b w:val="1"/>
                <w:bCs w:val="1"/>
                <w:color w:val="auto"/>
              </w:rPr>
              <w:t>Three Months Ended September 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8"/>
          </w:tcPr>
          <w:p>
            <w:pPr>
              <w:jc w:val="right"/>
              <w:ind w:right="219"/>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2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122"/>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8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8"/>
        </w:trPr>
        <w:tc>
          <w:tcPr>
            <w:tcW w:w="470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software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73"/>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2420" w:type="dxa"/>
            <w:vAlign w:val="bottom"/>
          </w:tcPr>
          <w:p>
            <w:pPr>
              <w:ind w:left="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82"/>
        </w:trPr>
        <w:tc>
          <w:tcPr>
            <w:tcW w:w="2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jc w:val="right"/>
              <w:ind w:right="7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24"/>
                <w:szCs w:val="24"/>
                <w:color w:val="auto"/>
              </w:rPr>
            </w:pPr>
          </w:p>
        </w:tc>
      </w:tr>
      <w:tr>
        <w:trPr>
          <w:trHeight w:val="264"/>
        </w:trPr>
        <w:tc>
          <w:tcPr>
            <w:tcW w:w="2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320"/>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Per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Per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b w:val="1"/>
                <w:bCs w:val="1"/>
                <w:color w:val="auto"/>
              </w:rPr>
              <w:t>Per</w:t>
            </w:r>
          </w:p>
        </w:tc>
      </w:tr>
      <w:tr>
        <w:trPr>
          <w:trHeight w:val="189"/>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Per Diluted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Diluted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Diluted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Diluted</w:t>
            </w:r>
          </w:p>
        </w:tc>
      </w:tr>
      <w:tr>
        <w:trPr>
          <w:trHeight w:val="228"/>
        </w:trPr>
        <w:tc>
          <w:tcPr>
            <w:tcW w:w="2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b w:val="1"/>
                <w:bCs w:val="1"/>
                <w:color w:val="auto"/>
                <w:w w:val="98"/>
              </w:rPr>
              <w:t>Share</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Share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Share</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r>
      <w:tr>
        <w:trPr>
          <w:trHeight w:val="270"/>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198"/>
        </w:trPr>
        <w:tc>
          <w:tcPr>
            <w:tcW w:w="2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Amortization of intangible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8"/>
        </w:trPr>
        <w:tc>
          <w:tcPr>
            <w:tcW w:w="2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assets, net of tax effect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r>
      <w:tr>
        <w:trPr>
          <w:trHeight w:val="240"/>
        </w:trPr>
        <w:tc>
          <w:tcPr>
            <w:tcW w:w="2420" w:type="dxa"/>
            <w:vAlign w:val="bottom"/>
          </w:tcPr>
          <w:p>
            <w:pPr>
              <w:ind w:left="40"/>
              <w:spacing w:after="0"/>
              <w:rPr>
                <w:sz w:val="20"/>
                <w:szCs w:val="20"/>
                <w:color w:val="auto"/>
              </w:rPr>
            </w:pPr>
            <w:r>
              <w:rPr>
                <w:rFonts w:ascii="Arial" w:cs="Arial" w:eastAsia="Arial" w:hAnsi="Arial"/>
                <w:sz w:val="16"/>
                <w:szCs w:val="16"/>
                <w:color w:val="auto"/>
              </w:rPr>
              <w:t>Adjusted 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2.97</w:t>
            </w:r>
          </w:p>
        </w:tc>
        <w:tc>
          <w:tcPr>
            <w:tcW w:w="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518</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Income tax effect of adjustments calculated at the blended federal and state statutory tax rate of 22% and 37% for 2018 and 2017, respectively.</w:t>
      </w:r>
    </w:p>
    <w:p>
      <w:pPr>
        <w:spacing w:after="0" w:line="2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are descriptions of the adjustments made to GAAP measures used to calculate the non-GAAP measures used in this news release:</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Earnings before interest, taxes, depreciation and amortization </w:t>
      </w:r>
      <w:r>
        <w:rPr>
          <w:rFonts w:ascii="Arial" w:cs="Arial" w:eastAsia="Arial" w:hAnsi="Arial"/>
          <w:sz w:val="18"/>
          <w:szCs w:val="18"/>
          <w:color w:val="auto"/>
        </w:rPr>
        <w:t>(</w:t>
      </w:r>
      <w:r>
        <w:rPr>
          <w:rFonts w:ascii="Arial" w:cs="Arial" w:eastAsia="Arial" w:hAnsi="Arial"/>
          <w:sz w:val="18"/>
          <w:szCs w:val="18"/>
          <w:b w:val="1"/>
          <w:bCs w:val="1"/>
          <w:color w:val="auto"/>
        </w:rPr>
        <w:t xml:space="preserve">EBITDA): </w:t>
      </w:r>
      <w:r>
        <w:rPr>
          <w:rFonts w:ascii="Arial" w:cs="Arial" w:eastAsia="Arial" w:hAnsi="Arial"/>
          <w:sz w:val="18"/>
          <w:szCs w:val="18"/>
          <w:color w:val="auto"/>
        </w:rPr>
        <w:t>Net income (loss) (GAAP) less depreciation, and amortization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and capitalized software, interest expense and income tax expense. We believe that EBITDA is helpful in assessing our ability to meet the cash demands of our operating units.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Net income (loss) (GAAP) less amortization of intangible assets, net of income tax effect calculated at the statutory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 We believe that adjusted net income (loss) is helpful in assessing our financial performance exclusive of the non-cash impact of the amortization of purchased intangibles.</w:t>
      </w:r>
    </w:p>
    <w:p>
      <w:pPr>
        <w:spacing w:after="0" w:line="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Adjusted net income per diluted share: </w:t>
      </w:r>
      <w:r>
        <w:rPr>
          <w:rFonts w:ascii="Arial" w:cs="Arial" w:eastAsia="Arial" w:hAnsi="Arial"/>
          <w:sz w:val="18"/>
          <w:szCs w:val="18"/>
          <w:color w:val="auto"/>
        </w:rPr>
        <w:t>Adjusted net income (loss) divided by weighted average common shares outstanding on a fully</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35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MOH Reports Third Quarter 2018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MOLINA HEALTHCARE,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REVISED GUIDANCE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Low End</w:t>
            </w:r>
          </w:p>
        </w:tc>
        <w:tc>
          <w:tcPr>
            <w:tcW w:w="360" w:type="dxa"/>
            <w:vAlign w:val="bottom"/>
          </w:tcPr>
          <w:p>
            <w:pPr>
              <w:spacing w:after="0"/>
              <w:rPr>
                <w:sz w:val="19"/>
                <w:szCs w:val="19"/>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High End</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intangible assets and capitalized software</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EBITDA</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7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Low End</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High End</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1"/>
                <w:szCs w:val="21"/>
                <w:b w:val="1"/>
                <w:bCs w:val="1"/>
                <w:color w:val="auto"/>
                <w:vertAlign w:val="superscript"/>
              </w:rPr>
              <w:t>(2)</w:t>
            </w:r>
          </w:p>
        </w:tc>
        <w:tc>
          <w:tcPr>
            <w:tcW w:w="280" w:type="dxa"/>
            <w:vAlign w:val="bottom"/>
          </w:tcPr>
          <w:p>
            <w:pPr>
              <w:spacing w:after="0"/>
              <w:rPr>
                <w:sz w:val="23"/>
                <w:szCs w:val="23"/>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 xml:space="preserve">Per share </w:t>
            </w:r>
            <w:r>
              <w:rPr>
                <w:rFonts w:ascii="Arial" w:cs="Arial" w:eastAsia="Arial" w:hAnsi="Arial"/>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8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Income tax effect </w:t>
            </w:r>
            <w:r>
              <w:rPr>
                <w:rFonts w:ascii="Arial" w:cs="Arial" w:eastAsia="Arial" w:hAnsi="Arial"/>
                <w:sz w:val="21"/>
                <w:szCs w:val="21"/>
                <w:color w:val="auto"/>
                <w:vertAlign w:val="superscript"/>
              </w:rPr>
              <w:t>(1)</w:t>
            </w:r>
          </w:p>
        </w:tc>
        <w:tc>
          <w:tcPr>
            <w:tcW w:w="11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4"/>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 net of tax effect</w:t>
            </w:r>
          </w:p>
        </w:tc>
        <w:tc>
          <w:tcPr>
            <w:tcW w:w="11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Adjusted net income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Income tax effect calculated at the statutory tax rate of 22%.</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Computation assumes 66.7 million diluted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2019-12-28T18:48:27Z</dcterms:created>
  <dcterms:modified xsi:type="dcterms:W3CDTF">2019-12-28T18:48:27Z</dcterms:modified>
</cp:coreProperties>
</file>