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327660</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387350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189865</wp:posOffset>
            </wp:positionV>
            <wp:extent cx="1781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196850</wp:posOffset>
            </wp:positionV>
            <wp:extent cx="1781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189865</wp:posOffset>
            </wp:positionV>
            <wp:extent cx="1781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MOLINA HEALTHCARE,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8" w:lineRule="exact"/>
        <w:rPr>
          <w:sz w:val="24"/>
          <w:szCs w:val="24"/>
          <w:color w:val="auto"/>
        </w:rPr>
      </w:pPr>
    </w:p>
    <w:tbl>
      <w:tblPr>
        <w:tblLayout w:type="fixed"/>
        <w:tblInd w:w="180" w:type="dxa"/>
        <w:tblCellMar>
          <w:top w:w="0" w:type="dxa"/>
          <w:left w:w="0" w:type="dxa"/>
          <w:bottom w:w="0" w:type="dxa"/>
          <w:right w:w="0" w:type="dxa"/>
        </w:tblCellMar>
      </w:tblPr>
      <w:tr>
        <w:trPr>
          <w:trHeight w:val="215"/>
        </w:trPr>
        <w:tc>
          <w:tcPr>
            <w:tcW w:w="426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80" w:type="dxa"/>
            <w:vAlign w:val="bottom"/>
          </w:tcPr>
          <w:p>
            <w:pPr>
              <w:jc w:val="right"/>
              <w:ind w:right="1011"/>
              <w:spacing w:after="0"/>
              <w:rPr>
                <w:sz w:val="20"/>
                <w:szCs w:val="20"/>
                <w:color w:val="auto"/>
              </w:rPr>
            </w:pPr>
            <w:r>
              <w:rPr>
                <w:rFonts w:ascii="Times New Roman" w:cs="Times New Roman" w:eastAsia="Times New Roman" w:hAnsi="Times New Roman"/>
                <w:sz w:val="18"/>
                <w:szCs w:val="18"/>
                <w:b w:val="1"/>
                <w:bCs w:val="1"/>
                <w:color w:val="auto"/>
              </w:rPr>
              <w:t>1-31719</w:t>
            </w:r>
          </w:p>
        </w:tc>
        <w:tc>
          <w:tcPr>
            <w:tcW w:w="3660" w:type="dxa"/>
            <w:vAlign w:val="bottom"/>
          </w:tcPr>
          <w:p>
            <w:pPr>
              <w:jc w:val="right"/>
              <w:ind w:right="791"/>
              <w:spacing w:after="0"/>
              <w:rPr>
                <w:sz w:val="20"/>
                <w:szCs w:val="20"/>
                <w:color w:val="auto"/>
              </w:rPr>
            </w:pPr>
            <w:r>
              <w:rPr>
                <w:rFonts w:ascii="Times New Roman" w:cs="Times New Roman" w:eastAsia="Times New Roman" w:hAnsi="Times New Roman"/>
                <w:sz w:val="18"/>
                <w:szCs w:val="18"/>
                <w:b w:val="1"/>
                <w:bCs w:val="1"/>
                <w:color w:val="auto"/>
              </w:rPr>
              <w:t>13-4204626</w:t>
            </w:r>
          </w:p>
        </w:tc>
      </w:tr>
      <w:tr>
        <w:trPr>
          <w:trHeight w:val="237"/>
        </w:trPr>
        <w:tc>
          <w:tcPr>
            <w:tcW w:w="426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w:t>
            </w:r>
          </w:p>
        </w:tc>
        <w:tc>
          <w:tcPr>
            <w:tcW w:w="25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3660" w:type="dxa"/>
            <w:vAlign w:val="bottom"/>
          </w:tcPr>
          <w:p>
            <w:pPr>
              <w:jc w:val="center"/>
              <w:ind w:left="951"/>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268"/>
        </w:trPr>
        <w:tc>
          <w:tcPr>
            <w:tcW w:w="4040" w:type="dxa"/>
            <w:vAlign w:val="bottom"/>
          </w:tcPr>
          <w:p>
            <w:pPr>
              <w:spacing w:after="0"/>
              <w:rPr>
                <w:sz w:val="23"/>
                <w:szCs w:val="23"/>
                <w:color w:val="auto"/>
              </w:rPr>
            </w:pPr>
          </w:p>
        </w:tc>
        <w:tc>
          <w:tcPr>
            <w:tcW w:w="2800" w:type="dxa"/>
            <w:vAlign w:val="bottom"/>
            <w:tcBorders>
              <w:bottom w:val="single" w:sz="8" w:color="auto"/>
            </w:tcBorders>
            <w:gridSpan w:val="2"/>
          </w:tcPr>
          <w:p>
            <w:pPr>
              <w:spacing w:after="0"/>
              <w:rPr>
                <w:sz w:val="23"/>
                <w:szCs w:val="23"/>
                <w:color w:val="auto"/>
              </w:rPr>
            </w:pPr>
          </w:p>
        </w:tc>
        <w:tc>
          <w:tcPr>
            <w:tcW w:w="3660" w:type="dxa"/>
            <w:vAlign w:val="bottom"/>
          </w:tcPr>
          <w:p>
            <w:pPr>
              <w:spacing w:after="0"/>
              <w:rPr>
                <w:sz w:val="23"/>
                <w:szCs w:val="23"/>
                <w:color w:val="auto"/>
              </w:rPr>
            </w:pPr>
          </w:p>
        </w:tc>
      </w:tr>
      <w:tr>
        <w:trPr>
          <w:trHeight w:val="454"/>
        </w:trPr>
        <w:tc>
          <w:tcPr>
            <w:tcW w:w="6840" w:type="dxa"/>
            <w:vAlign w:val="bottom"/>
            <w:gridSpan w:val="3"/>
          </w:tcPr>
          <w:p>
            <w:pPr>
              <w:jc w:val="center"/>
              <w:ind w:right="1491"/>
              <w:spacing w:after="0"/>
              <w:rPr>
                <w:sz w:val="20"/>
                <w:szCs w:val="20"/>
                <w:color w:val="auto"/>
              </w:rPr>
            </w:pPr>
            <w:r>
              <w:rPr>
                <w:rFonts w:ascii="Times New Roman" w:cs="Times New Roman" w:eastAsia="Times New Roman" w:hAnsi="Times New Roman"/>
                <w:sz w:val="18"/>
                <w:szCs w:val="18"/>
                <w:b w:val="1"/>
                <w:bCs w:val="1"/>
                <w:color w:val="auto"/>
                <w:w w:val="99"/>
              </w:rPr>
              <w:t>200 Oceangate, Suite 100, Long Beach, California</w:t>
            </w:r>
          </w:p>
        </w:tc>
        <w:tc>
          <w:tcPr>
            <w:tcW w:w="3660" w:type="dxa"/>
            <w:vAlign w:val="bottom"/>
          </w:tcPr>
          <w:p>
            <w:pPr>
              <w:jc w:val="right"/>
              <w:ind w:right="1931"/>
              <w:spacing w:after="0"/>
              <w:rPr>
                <w:sz w:val="20"/>
                <w:szCs w:val="20"/>
                <w:color w:val="auto"/>
              </w:rPr>
            </w:pPr>
            <w:r>
              <w:rPr>
                <w:rFonts w:ascii="Times New Roman" w:cs="Times New Roman" w:eastAsia="Times New Roman" w:hAnsi="Times New Roman"/>
                <w:sz w:val="18"/>
                <w:szCs w:val="18"/>
                <w:b w:val="1"/>
                <w:bCs w:val="1"/>
                <w:color w:val="auto"/>
              </w:rPr>
              <w:t>90802</w:t>
            </w:r>
          </w:p>
        </w:tc>
      </w:tr>
      <w:tr>
        <w:trPr>
          <w:trHeight w:val="237"/>
        </w:trPr>
        <w:tc>
          <w:tcPr>
            <w:tcW w:w="4260" w:type="dxa"/>
            <w:vAlign w:val="bottom"/>
            <w:gridSpan w:val="2"/>
          </w:tcPr>
          <w:p>
            <w:pPr>
              <w:jc w:val="center"/>
              <w:ind w:left="931"/>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580" w:type="dxa"/>
            <w:vAlign w:val="bottom"/>
          </w:tcPr>
          <w:p>
            <w:pPr>
              <w:spacing w:after="0"/>
              <w:rPr>
                <w:sz w:val="20"/>
                <w:szCs w:val="20"/>
                <w:color w:val="auto"/>
              </w:rPr>
            </w:pPr>
          </w:p>
        </w:tc>
        <w:tc>
          <w:tcPr>
            <w:tcW w:w="3660" w:type="dxa"/>
            <w:vAlign w:val="bottom"/>
          </w:tcPr>
          <w:p>
            <w:pPr>
              <w:jc w:val="center"/>
              <w:ind w:right="751"/>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(562) 435-3666</w:t>
      </w:r>
    </w:p>
    <w:p>
      <w:pPr>
        <w:spacing w:after="0" w:line="226" w:lineRule="exact"/>
        <w:rPr>
          <w:sz w:val="24"/>
          <w:szCs w:val="24"/>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2" w:lineRule="exact"/>
        <w:rPr>
          <w:rFonts w:ascii="MS PGothic" w:cs="MS PGothic" w:eastAsia="MS PGothic" w:hAnsi="MS PGothic"/>
          <w:sz w:val="18"/>
          <w:szCs w:val="18"/>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2" w:lineRule="exact"/>
        <w:rPr>
          <w:rFonts w:ascii="MS PGothic" w:cs="MS PGothic" w:eastAsia="MS PGothic" w:hAnsi="MS PGothic"/>
          <w:sz w:val="18"/>
          <w:szCs w:val="18"/>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2" w:lineRule="exact"/>
        <w:rPr>
          <w:rFonts w:ascii="MS PGothic" w:cs="MS PGothic" w:eastAsia="MS PGothic" w:hAnsi="MS PGothic"/>
          <w:sz w:val="18"/>
          <w:szCs w:val="18"/>
          <w:color w:val="auto"/>
        </w:rPr>
      </w:pPr>
    </w:p>
    <w:p>
      <w:pPr>
        <w:ind w:right="2920" w:firstLine="7"/>
        <w:spacing w:after="0" w:line="506" w:lineRule="auto"/>
        <w:tabs>
          <w:tab w:leader="none" w:pos="32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4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56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91"/>
        </w:trPr>
        <w:tc>
          <w:tcPr>
            <w:tcW w:w="3420" w:type="dxa"/>
            <w:vAlign w:val="bottom"/>
            <w:tcBorders>
              <w:left w:val="single" w:sz="8" w:color="auto"/>
              <w:bottom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Common Stock, $0.001 Par Value</w:t>
            </w:r>
          </w:p>
        </w:tc>
        <w:tc>
          <w:tcPr>
            <w:tcW w:w="2220" w:type="dxa"/>
            <w:vAlign w:val="bottom"/>
            <w:tcBorders>
              <w:bottom w:val="single" w:sz="8" w:color="auto"/>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MOH</w:t>
            </w:r>
          </w:p>
        </w:tc>
        <w:tc>
          <w:tcPr>
            <w:tcW w:w="5600" w:type="dxa"/>
            <w:vAlign w:val="bottom"/>
            <w:tcBorders>
              <w:bottom w:val="single" w:sz="8" w:color="auto"/>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6" w:lineRule="exact"/>
        <w:rPr>
          <w:sz w:val="24"/>
          <w:szCs w:val="24"/>
          <w:color w:val="auto"/>
        </w:rPr>
      </w:pPr>
    </w:p>
    <w:p>
      <w:pPr>
        <w:ind w:right="580"/>
        <w:spacing w:after="0" w:line="27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11040" w:type="dxa"/>
            <w:vAlign w:val="bottom"/>
          </w:tcPr>
          <w:p>
            <w:pPr>
              <w:spacing w:after="0"/>
              <w:rPr>
                <w:sz w:val="20"/>
                <w:szCs w:val="20"/>
                <w:color w:val="auto"/>
              </w:rPr>
            </w:pPr>
            <w:r>
              <w:rPr>
                <w:rFonts w:ascii="Times New Roman" w:cs="Times New Roman" w:eastAsia="Times New Roman" w:hAnsi="Times New Roman"/>
                <w:sz w:val="18"/>
                <w:szCs w:val="18"/>
                <w:color w:val="auto"/>
                <w:w w:val="99"/>
              </w:rPr>
              <w:t>If an emerging growth company, indicate by check mark if the registrant has elected not to use the extended transition period for complying with any new</w:t>
            </w:r>
          </w:p>
        </w:tc>
        <w:tc>
          <w:tcPr>
            <w:tcW w:w="20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1"/>
        </w:trPr>
        <w:tc>
          <w:tcPr>
            <w:tcW w:w="11040" w:type="dxa"/>
            <w:vAlign w:val="bottom"/>
          </w:tcPr>
          <w:p>
            <w:pPr>
              <w:spacing w:after="0"/>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p>
        </w:tc>
        <w:tc>
          <w:tcPr>
            <w:tcW w:w="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7132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194945</wp:posOffset>
            </wp:positionV>
            <wp:extent cx="7132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612775</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6"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As previously announced, Molina Healthcare, Inc. (the “Company”) will host its Investor Day Conference on May 8, 2026, beginning at 9:30 a.m. Eastern Time. At the event, the Company will provide various updates regarding its business, including on its long-term financial targets and strategic and operational plans. A copy of the Investor Day presentation materials is attached hereto as Exhibit 99.1 and incorporated herein by reference.</w:t>
      </w:r>
    </w:p>
    <w:p>
      <w:pPr>
        <w:spacing w:after="0" w:line="1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 live webcast of the Company’s Investor Day will be accessible on the Company’s investor relations website at investors.molinahealthcare.com. Instructions for accessing the webcast can be found on the Company’s investor relations website. A 30-day online replay of the Investor Day meeting will be available on the Company’s investor relations website shortly following the conclusion of the live webcast. The information contained in such website is not part of this Form 8-K.</w:t>
      </w:r>
    </w:p>
    <w:p>
      <w:pPr>
        <w:spacing w:after="0" w:line="180"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color w:val="auto"/>
        </w:rPr>
        <w:t>Note: The information in this Form 8-K and the exhibit attached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2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Company’s Investor Day presentation and accompanying oral remarks include numerous forward-looking statements. The Company intends such forward-looking statements to be covered under the safe harbor provisions for forward-looking statements contained in Section 27A of the Securities Act and Section 21E of the Exchange Act. Forward-looking statements provide current expectations of future events based on certain assumptions, and all statements other than statements of historical fact contained in this Form 8-K may be forward-looking statements. In some cases, you can identify forward-looking statements by words such as “guidance,” “future,” “anticipates,” “believes,” “embedded,” “estimates,” “expects,” “growth,” “intends,” “plans,” “predicts,” “projects,” “will,” “would,” “could,” “can,” “may,” or the negative of these terms or other similar expressions. Forward-looking statements include, but are not limited to, statements regarding our 2029 performance outlook, our 2029 premium revenue, and our 2029 adjusted EPS targets; medical cost trends; Medicaid, Medicare, and Marketplace rates; legislative and regulatory changes and impacts; our projected growth, including RFP and M&amp;A opportunities; our implementation of the Florida Children’s Medical Services program contract; our implementation of artificial intelligence initiatives and expected capabilities; our general and administrative expenses; our embedded earnings and their realization; our capital deployment; our guidance for the balance of fiscal year 2026; and our premium outlook for fiscal year 2027.</w:t>
      </w:r>
    </w:p>
    <w:p>
      <w:pPr>
        <w:spacing w:after="0" w:line="186" w:lineRule="exact"/>
        <w:rPr>
          <w:sz w:val="20"/>
          <w:szCs w:val="20"/>
          <w:color w:val="auto"/>
        </w:rPr>
      </w:pPr>
    </w:p>
    <w:p>
      <w:pPr>
        <w:ind w:right="200"/>
        <w:spacing w:after="0" w:line="220" w:lineRule="exact"/>
        <w:rPr>
          <w:sz w:val="20"/>
          <w:szCs w:val="20"/>
          <w:color w:val="auto"/>
        </w:rPr>
      </w:pPr>
      <w:r>
        <w:rPr>
          <w:rFonts w:ascii="Times New Roman" w:cs="Times New Roman" w:eastAsia="Times New Roman" w:hAnsi="Times New Roman"/>
          <w:sz w:val="18"/>
          <w:szCs w:val="18"/>
          <w:color w:val="auto"/>
        </w:rPr>
        <w:t>Actual results could differ materially due to numerous known and unknown risks and uncertainties. These risks and uncertainties are discussed under the headings, “Forward-Looking Statements,” and “Risk Factors,”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which is on file with the U.S. Securities and Exchange Commission (the “SEC”), and in the Company’s other filings with the SEC, including its Quarterly Report on Form 10-Q for the period ended March 31, 2026.</w:t>
      </w:r>
    </w:p>
    <w:p>
      <w:pPr>
        <w:spacing w:after="0" w:line="19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These reports can be accessed under the investor relations tab of the Company’s website or on the SEC’s website at sec.gov. Given these risks and uncertainties, the Company can give no assurances that its forward-looking statements will prove to be accurate, or that any other results or developments projected or contemplated by its forward-looking statements will in fact occur, and the Company cautions investors not to place undue reliance on these statements. All forward-looking statements in this Form 8-K represent the Company’s judgment as of May 8, 2026, and, except as otherwise required by law, the Company disclaims any obligation to update any forward-looking statement to conform the statement to actual results or changes in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349885</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6" w:lineRule="exact"/>
        <w:rPr>
          <w:sz w:val="20"/>
          <w:szCs w:val="20"/>
          <w:color w:val="auto"/>
        </w:rPr>
      </w:pPr>
    </w:p>
    <w:p>
      <w:pPr>
        <w:ind w:left="1300" w:hanging="487"/>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0" w:lineRule="exact"/>
        <w:rPr>
          <w:sz w:val="20"/>
          <w:szCs w:val="20"/>
          <w:color w:val="auto"/>
        </w:rPr>
      </w:pPr>
    </w:p>
    <w:p>
      <w:pPr>
        <w:ind w:left="1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31" w:lineRule="exact"/>
        <w:rPr>
          <w:sz w:val="20"/>
          <w:szCs w:val="20"/>
          <w:color w:val="auto"/>
        </w:rPr>
      </w:pPr>
    </w:p>
    <w:p>
      <w:pPr>
        <w:ind w:left="160"/>
        <w:spacing w:after="0"/>
        <w:tabs>
          <w:tab w:leader="none" w:pos="9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Molina Healthcare, Inc. 2026 Investor Day Presentation, dated May 8, 2026.</w:t>
      </w:r>
    </w:p>
    <w:p>
      <w:pPr>
        <w:spacing w:after="0" w:line="249" w:lineRule="exact"/>
        <w:rPr>
          <w:sz w:val="20"/>
          <w:szCs w:val="20"/>
          <w:color w:val="auto"/>
        </w:rPr>
      </w:pPr>
    </w:p>
    <w:p>
      <w:pPr>
        <w:ind w:left="160"/>
        <w:spacing w:after="0"/>
        <w:tabs>
          <w:tab w:leader="none" w:pos="9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381635</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39"/>
          </w:cols>
          <w:pgMar w:left="320" w:top="573" w:right="1440" w:bottom="1440" w:gutter="0" w:footer="0" w:header="0"/>
        </w:sectPr>
      </w:pPr>
    </w:p>
    <w:bookmarkStart w:id="3" w:name="page4"/>
    <w:bookmarkEnd w:id="3"/>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6" w:lineRule="exact"/>
        <w:rPr>
          <w:sz w:val="20"/>
          <w:szCs w:val="20"/>
          <w:color w:val="auto"/>
        </w:rPr>
      </w:pPr>
    </w:p>
    <w:p>
      <w:pPr>
        <w:ind w:firstLine="644"/>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MOLINA HEALTHCARE, INC.</w:t>
            </w:r>
          </w:p>
        </w:tc>
      </w:tr>
      <w:tr>
        <w:trPr>
          <w:trHeight w:val="4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4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 D. Barlow</w:t>
            </w:r>
          </w:p>
        </w:tc>
      </w:tr>
      <w:tr>
        <w:trPr>
          <w:trHeight w:val="190"/>
        </w:trPr>
        <w:tc>
          <w:tcPr>
            <w:tcW w:w="34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2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Jeff D. Barlow,</w:t>
            </w:r>
          </w:p>
        </w:tc>
      </w:tr>
      <w:tr>
        <w:trPr>
          <w:trHeight w:val="233"/>
        </w:trPr>
        <w:tc>
          <w:tcPr>
            <w:tcW w:w="3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Legal Officer and Secretary</w:t>
            </w:r>
          </w:p>
        </w:tc>
      </w:tr>
    </w:tbl>
    <w:p>
      <w:pPr>
        <w:sectPr>
          <w:pgSz w:w="11900" w:h="16838" w:orient="portrait"/>
          <w:cols w:equalWidth="0" w:num="1">
            <w:col w:w="10860"/>
          </w:cols>
          <w:pgMar w:left="320" w:top="573" w:right="719" w:bottom="1440" w:gutter="0" w:footer="0" w:header="0"/>
        </w:sectPr>
      </w:pPr>
    </w:p>
    <w:bookmarkStart w:id="4" w:name="page5"/>
    <w:bookmarkEnd w:id="4"/>
    <w:p>
      <w:pPr>
        <w:ind w:left="920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299085</wp:posOffset>
            </wp:positionV>
            <wp:extent cx="7196455" cy="4397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361950</wp:posOffset>
            </wp:positionV>
            <wp:extent cx="7196455" cy="4397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361950</wp:posOffset>
            </wp:positionV>
            <wp:extent cx="7196455" cy="43973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361950</wp:posOffset>
            </wp:positionV>
            <wp:extent cx="7196455" cy="43973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361950</wp:posOffset>
            </wp:positionV>
            <wp:extent cx="7196455" cy="43973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361950</wp:posOffset>
            </wp:positionV>
            <wp:extent cx="7196455" cy="43973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361950</wp:posOffset>
            </wp:positionV>
            <wp:extent cx="7196455" cy="43973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361950</wp:posOffset>
            </wp:positionV>
            <wp:extent cx="7196455" cy="43973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361950</wp:posOffset>
            </wp:positionV>
            <wp:extent cx="7196455" cy="43973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361950</wp:posOffset>
            </wp:positionV>
            <wp:extent cx="7196455" cy="43973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361950</wp:posOffset>
            </wp:positionV>
            <wp:extent cx="7196455" cy="43973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361950</wp:posOffset>
            </wp:positionV>
            <wp:extent cx="7196455" cy="43973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3973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361950</wp:posOffset>
            </wp:positionV>
            <wp:extent cx="7196455" cy="43973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96455" cy="40481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7196455" cy="40481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2026-05-08T08:02:56Z</dcterms:created>
  <dcterms:modified xsi:type="dcterms:W3CDTF">2026-05-08T08:02:56Z</dcterms:modified>
</cp:coreProperties>
</file>