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200025</wp:posOffset>
            </wp:positionH>
            <wp:positionV relativeFrom="page">
              <wp:posOffset>581025</wp:posOffset>
            </wp:positionV>
            <wp:extent cx="714819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600710</wp:posOffset>
            </wp:positionV>
            <wp:extent cx="714819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6985"/>
                    </a:xfrm>
                    <a:prstGeom prst="rect">
                      <a:avLst/>
                    </a:prstGeom>
                    <a:noFill/>
                  </pic:spPr>
                </pic:pic>
              </a:graphicData>
            </a:graphic>
          </wp:anchor>
        </w:drawing>
        <w:t>UNITED STATES</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51" w:lineRule="exact"/>
        <w:rPr>
          <w:sz w:val="24"/>
          <w:szCs w:val="24"/>
          <w:color w:val="auto"/>
        </w:rPr>
      </w:pPr>
    </w:p>
    <w:p>
      <w:pPr>
        <w:ind w:left="5100"/>
        <w:spacing w:after="0"/>
        <w:rPr>
          <w:sz w:val="20"/>
          <w:szCs w:val="20"/>
          <w:color w:val="auto"/>
        </w:rPr>
      </w:pPr>
      <w:r>
        <w:rPr>
          <w:rFonts w:ascii="Arial" w:cs="Arial" w:eastAsia="Arial" w:hAnsi="Arial"/>
          <w:sz w:val="14"/>
          <w:szCs w:val="14"/>
          <w:b w:val="1"/>
          <w:bCs w:val="1"/>
          <w:color w:val="auto"/>
        </w:rPr>
        <w:t>______________</w:t>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103" w:lineRule="exact"/>
        <w:rPr>
          <w:sz w:val="24"/>
          <w:szCs w:val="24"/>
          <w:color w:val="auto"/>
        </w:rPr>
      </w:pPr>
    </w:p>
    <w:p>
      <w:pPr>
        <w:ind w:left="5100"/>
        <w:spacing w:after="0"/>
        <w:rPr>
          <w:sz w:val="20"/>
          <w:szCs w:val="20"/>
          <w:color w:val="auto"/>
        </w:rPr>
      </w:pPr>
      <w:r>
        <w:rPr>
          <w:rFonts w:ascii="Arial" w:cs="Arial" w:eastAsia="Arial" w:hAnsi="Arial"/>
          <w:sz w:val="14"/>
          <w:szCs w:val="14"/>
          <w:b w:val="1"/>
          <w:bCs w:val="1"/>
          <w:color w:val="auto"/>
        </w:rPr>
        <w:t>______________</w:t>
      </w:r>
    </w:p>
    <w:p>
      <w:pPr>
        <w:spacing w:after="0" w:line="11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Current Report</w:t>
      </w:r>
    </w:p>
    <w:p>
      <w:pPr>
        <w:spacing w:after="0" w:line="12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11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Date of Report (Date of earliest event reported): May 11, 2026 (May 6, 2026)</w:t>
      </w:r>
    </w:p>
    <w:p>
      <w:pPr>
        <w:spacing w:after="0" w:line="125" w:lineRule="exact"/>
        <w:rPr>
          <w:sz w:val="24"/>
          <w:szCs w:val="24"/>
          <w:color w:val="auto"/>
        </w:rPr>
      </w:pPr>
    </w:p>
    <w:p>
      <w:pPr>
        <w:ind w:left="5100"/>
        <w:spacing w:after="0"/>
        <w:rPr>
          <w:sz w:val="20"/>
          <w:szCs w:val="20"/>
          <w:color w:val="auto"/>
        </w:rPr>
      </w:pPr>
      <w:r>
        <w:rPr>
          <w:rFonts w:ascii="Arial" w:cs="Arial" w:eastAsia="Arial" w:hAnsi="Arial"/>
          <w:sz w:val="14"/>
          <w:szCs w:val="14"/>
          <w:b w:val="1"/>
          <w:bCs w:val="1"/>
          <w:color w:val="auto"/>
        </w:rPr>
        <w:t>______________</w:t>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MOLINA HEALTHCARE, INC.</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69" w:lineRule="exact"/>
        <w:rPr>
          <w:sz w:val="24"/>
          <w:szCs w:val="24"/>
          <w:color w:val="auto"/>
        </w:rPr>
      </w:pPr>
    </w:p>
    <w:tbl>
      <w:tblPr>
        <w:tblLayout w:type="fixed"/>
        <w:tblInd w:w="2240" w:type="dxa"/>
        <w:tblCellMar>
          <w:top w:w="0" w:type="dxa"/>
          <w:left w:w="0" w:type="dxa"/>
          <w:bottom w:w="0" w:type="dxa"/>
          <w:right w:w="0" w:type="dxa"/>
        </w:tblCellMar>
      </w:tblPr>
      <w:tr>
        <w:trPr>
          <w:trHeight w:val="180"/>
        </w:trPr>
        <w:tc>
          <w:tcPr>
            <w:tcW w:w="2220" w:type="dxa"/>
            <w:vAlign w:val="bottom"/>
          </w:tcPr>
          <w:p>
            <w:pPr>
              <w:jc w:val="center"/>
              <w:ind w:right="209"/>
              <w:spacing w:after="0"/>
              <w:rPr>
                <w:sz w:val="20"/>
                <w:szCs w:val="20"/>
                <w:color w:val="auto"/>
              </w:rPr>
            </w:pPr>
            <w:r>
              <w:rPr>
                <w:rFonts w:ascii="Arial" w:cs="Arial" w:eastAsia="Arial" w:hAnsi="Arial"/>
                <w:sz w:val="14"/>
                <w:szCs w:val="14"/>
                <w:b w:val="1"/>
                <w:bCs w:val="1"/>
                <w:color w:val="auto"/>
              </w:rPr>
              <w:t>Delaware</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rPr>
              <w:t>1-31719</w:t>
            </w:r>
          </w:p>
        </w:tc>
        <w:tc>
          <w:tcPr>
            <w:tcW w:w="2420" w:type="dxa"/>
            <w:vAlign w:val="bottom"/>
          </w:tcPr>
          <w:p>
            <w:pPr>
              <w:ind w:left="940"/>
              <w:spacing w:after="0"/>
              <w:rPr>
                <w:sz w:val="20"/>
                <w:szCs w:val="20"/>
                <w:color w:val="auto"/>
              </w:rPr>
            </w:pPr>
            <w:r>
              <w:rPr>
                <w:rFonts w:ascii="Arial" w:cs="Arial" w:eastAsia="Arial" w:hAnsi="Arial"/>
                <w:sz w:val="14"/>
                <w:szCs w:val="14"/>
                <w:b w:val="1"/>
                <w:bCs w:val="1"/>
                <w:color w:val="auto"/>
              </w:rPr>
              <w:t>13-4204626</w:t>
            </w:r>
          </w:p>
        </w:tc>
        <w:tc>
          <w:tcPr>
            <w:tcW w:w="0" w:type="dxa"/>
            <w:vAlign w:val="bottom"/>
          </w:tcPr>
          <w:p>
            <w:pPr>
              <w:spacing w:after="0"/>
              <w:rPr>
                <w:sz w:val="1"/>
                <w:szCs w:val="1"/>
                <w:color w:val="auto"/>
              </w:rPr>
            </w:pPr>
          </w:p>
        </w:tc>
      </w:tr>
      <w:tr>
        <w:trPr>
          <w:trHeight w:val="142"/>
        </w:trPr>
        <w:tc>
          <w:tcPr>
            <w:tcW w:w="2220" w:type="dxa"/>
            <w:vAlign w:val="bottom"/>
          </w:tcPr>
          <w:p>
            <w:pPr>
              <w:jc w:val="center"/>
              <w:ind w:right="209"/>
              <w:spacing w:after="0" w:line="142" w:lineRule="exact"/>
              <w:rPr>
                <w:sz w:val="20"/>
                <w:szCs w:val="20"/>
                <w:color w:val="auto"/>
              </w:rPr>
            </w:pPr>
            <w:r>
              <w:rPr>
                <w:rFonts w:ascii="Arial" w:cs="Arial" w:eastAsia="Arial" w:hAnsi="Arial"/>
                <w:sz w:val="14"/>
                <w:szCs w:val="14"/>
                <w:b w:val="1"/>
                <w:bCs w:val="1"/>
                <w:color w:val="auto"/>
              </w:rPr>
              <w:t>(State or other jurisdiction of</w:t>
            </w:r>
          </w:p>
        </w:tc>
        <w:tc>
          <w:tcPr>
            <w:tcW w:w="22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(Commission File Number)</w:t>
            </w:r>
          </w:p>
        </w:tc>
        <w:tc>
          <w:tcPr>
            <w:tcW w:w="24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(IRS Employer Identification No.)</w:t>
            </w:r>
          </w:p>
        </w:tc>
        <w:tc>
          <w:tcPr>
            <w:tcW w:w="0" w:type="dxa"/>
            <w:vAlign w:val="bottom"/>
          </w:tcPr>
          <w:p>
            <w:pPr>
              <w:spacing w:after="0"/>
              <w:rPr>
                <w:sz w:val="1"/>
                <w:szCs w:val="1"/>
                <w:color w:val="auto"/>
              </w:rPr>
            </w:pPr>
          </w:p>
        </w:tc>
      </w:tr>
      <w:tr>
        <w:trPr>
          <w:trHeight w:val="201"/>
        </w:trPr>
        <w:tc>
          <w:tcPr>
            <w:tcW w:w="2220" w:type="dxa"/>
            <w:vAlign w:val="bottom"/>
          </w:tcPr>
          <w:p>
            <w:pPr>
              <w:jc w:val="center"/>
              <w:ind w:right="229"/>
              <w:spacing w:after="0"/>
              <w:rPr>
                <w:sz w:val="20"/>
                <w:szCs w:val="20"/>
                <w:color w:val="auto"/>
              </w:rPr>
            </w:pPr>
            <w:r>
              <w:rPr>
                <w:rFonts w:ascii="Arial" w:cs="Arial" w:eastAsia="Arial" w:hAnsi="Arial"/>
                <w:sz w:val="14"/>
                <w:szCs w:val="14"/>
                <w:b w:val="1"/>
                <w:bCs w:val="1"/>
                <w:color w:val="auto"/>
              </w:rPr>
              <w:t>incorporation)</w:t>
            </w:r>
          </w:p>
        </w:tc>
        <w:tc>
          <w:tcPr>
            <w:tcW w:w="2280" w:type="dxa"/>
            <w:vAlign w:val="bottom"/>
            <w:vMerge w:val="continue"/>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220" w:type="dxa"/>
            <w:vAlign w:val="bottom"/>
          </w:tcPr>
          <w:p>
            <w:pPr>
              <w:spacing w:after="0"/>
              <w:rPr>
                <w:sz w:val="21"/>
                <w:szCs w:val="21"/>
                <w:color w:val="auto"/>
              </w:rPr>
            </w:pPr>
          </w:p>
        </w:tc>
        <w:tc>
          <w:tcPr>
            <w:tcW w:w="2280" w:type="dxa"/>
            <w:vAlign w:val="bottom"/>
          </w:tcPr>
          <w:p>
            <w:pPr>
              <w:jc w:val="center"/>
              <w:ind w:left="29"/>
              <w:spacing w:after="0"/>
              <w:rPr>
                <w:sz w:val="20"/>
                <w:szCs w:val="20"/>
                <w:color w:val="auto"/>
              </w:rPr>
            </w:pPr>
            <w:r>
              <w:rPr>
                <w:rFonts w:ascii="Arial" w:cs="Arial" w:eastAsia="Arial" w:hAnsi="Arial"/>
                <w:sz w:val="14"/>
                <w:szCs w:val="14"/>
                <w:b w:val="1"/>
                <w:bCs w:val="1"/>
                <w:color w:val="auto"/>
              </w:rPr>
              <w:t>______________</w:t>
            </w: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500" w:type="dxa"/>
            <w:vAlign w:val="bottom"/>
            <w:gridSpan w:val="2"/>
          </w:tcPr>
          <w:p>
            <w:pPr>
              <w:ind w:left="620"/>
              <w:spacing w:after="0"/>
              <w:rPr>
                <w:sz w:val="20"/>
                <w:szCs w:val="20"/>
                <w:color w:val="auto"/>
              </w:rPr>
            </w:pPr>
            <w:r>
              <w:rPr>
                <w:rFonts w:ascii="Arial" w:cs="Arial" w:eastAsia="Arial" w:hAnsi="Arial"/>
                <w:sz w:val="14"/>
                <w:szCs w:val="14"/>
                <w:b w:val="1"/>
                <w:bCs w:val="1"/>
                <w:color w:val="auto"/>
              </w:rPr>
              <w:t>200 Oceangate, Suite 100, Long Beach,  California</w:t>
            </w:r>
          </w:p>
        </w:tc>
        <w:tc>
          <w:tcPr>
            <w:tcW w:w="2420" w:type="dxa"/>
            <w:vAlign w:val="bottom"/>
          </w:tcPr>
          <w:p>
            <w:pPr>
              <w:jc w:val="right"/>
              <w:ind w:right="869"/>
              <w:spacing w:after="0"/>
              <w:rPr>
                <w:sz w:val="20"/>
                <w:szCs w:val="20"/>
                <w:color w:val="auto"/>
              </w:rPr>
            </w:pPr>
            <w:r>
              <w:rPr>
                <w:rFonts w:ascii="Arial" w:cs="Arial" w:eastAsia="Arial" w:hAnsi="Arial"/>
                <w:sz w:val="14"/>
                <w:szCs w:val="14"/>
                <w:b w:val="1"/>
                <w:bCs w:val="1"/>
                <w:color w:val="auto"/>
              </w:rPr>
              <w:t>90802</w:t>
            </w:r>
          </w:p>
        </w:tc>
        <w:tc>
          <w:tcPr>
            <w:tcW w:w="0" w:type="dxa"/>
            <w:vAlign w:val="bottom"/>
          </w:tcPr>
          <w:p>
            <w:pPr>
              <w:spacing w:after="0"/>
              <w:rPr>
                <w:sz w:val="1"/>
                <w:szCs w:val="1"/>
                <w:color w:val="auto"/>
              </w:rPr>
            </w:pPr>
          </w:p>
        </w:tc>
      </w:tr>
      <w:tr>
        <w:trPr>
          <w:trHeight w:val="212"/>
        </w:trPr>
        <w:tc>
          <w:tcPr>
            <w:tcW w:w="4500" w:type="dxa"/>
            <w:vAlign w:val="bottom"/>
            <w:gridSpan w:val="2"/>
          </w:tcPr>
          <w:p>
            <w:pPr>
              <w:ind w:left="1060"/>
              <w:spacing w:after="0"/>
              <w:rPr>
                <w:sz w:val="20"/>
                <w:szCs w:val="20"/>
                <w:color w:val="auto"/>
              </w:rPr>
            </w:pPr>
            <w:r>
              <w:rPr>
                <w:rFonts w:ascii="Arial" w:cs="Arial" w:eastAsia="Arial" w:hAnsi="Arial"/>
                <w:sz w:val="14"/>
                <w:szCs w:val="14"/>
                <w:b w:val="1"/>
                <w:bCs w:val="1"/>
                <w:color w:val="auto"/>
              </w:rPr>
              <w:t>(Address of principal executive offices)</w:t>
            </w:r>
          </w:p>
        </w:tc>
        <w:tc>
          <w:tcPr>
            <w:tcW w:w="2420" w:type="dxa"/>
            <w:vAlign w:val="bottom"/>
          </w:tcPr>
          <w:p>
            <w:pPr>
              <w:ind w:left="940"/>
              <w:spacing w:after="0"/>
              <w:rPr>
                <w:sz w:val="20"/>
                <w:szCs w:val="20"/>
                <w:color w:val="auto"/>
              </w:rPr>
            </w:pPr>
            <w:r>
              <w:rPr>
                <w:rFonts w:ascii="Arial" w:cs="Arial" w:eastAsia="Arial" w:hAnsi="Arial"/>
                <w:sz w:val="14"/>
                <w:szCs w:val="14"/>
                <w:b w:val="1"/>
                <w:bCs w:val="1"/>
                <w:color w:val="auto"/>
              </w:rPr>
              <w:t>(Zip Code)</w:t>
            </w:r>
          </w:p>
        </w:tc>
        <w:tc>
          <w:tcPr>
            <w:tcW w:w="0" w:type="dxa"/>
            <w:vAlign w:val="bottom"/>
          </w:tcPr>
          <w:p>
            <w:pPr>
              <w:spacing w:after="0"/>
              <w:rPr>
                <w:sz w:val="1"/>
                <w:szCs w:val="1"/>
                <w:color w:val="auto"/>
              </w:rPr>
            </w:pPr>
          </w:p>
        </w:tc>
      </w:tr>
    </w:tbl>
    <w:p>
      <w:pPr>
        <w:spacing w:after="0" w:line="82" w:lineRule="exact"/>
        <w:rPr>
          <w:sz w:val="24"/>
          <w:szCs w:val="24"/>
          <w:color w:val="auto"/>
        </w:rPr>
      </w:pPr>
    </w:p>
    <w:p>
      <w:pPr>
        <w:ind w:left="3380"/>
        <w:spacing w:after="0"/>
        <w:rPr>
          <w:sz w:val="20"/>
          <w:szCs w:val="20"/>
          <w:color w:val="auto"/>
        </w:rPr>
      </w:pPr>
      <w:r>
        <w:rPr>
          <w:rFonts w:ascii="Arial" w:cs="Arial" w:eastAsia="Arial" w:hAnsi="Arial"/>
          <w:sz w:val="14"/>
          <w:szCs w:val="14"/>
          <w:b w:val="1"/>
          <w:bCs w:val="1"/>
          <w:color w:val="auto"/>
        </w:rPr>
        <w:t>Registrant’s telephone number, including area code: (562) 435-3666</w:t>
      </w:r>
    </w:p>
    <w:p>
      <w:pPr>
        <w:spacing w:after="0" w:line="125" w:lineRule="exact"/>
        <w:rPr>
          <w:sz w:val="24"/>
          <w:szCs w:val="24"/>
          <w:color w:val="auto"/>
        </w:rPr>
      </w:pPr>
    </w:p>
    <w:p>
      <w:pPr>
        <w:ind w:left="5520"/>
        <w:spacing w:after="0"/>
        <w:rPr>
          <w:sz w:val="20"/>
          <w:szCs w:val="20"/>
          <w:color w:val="auto"/>
        </w:rPr>
      </w:pPr>
      <w:r>
        <w:rPr>
          <w:rFonts w:ascii="Arial" w:cs="Arial" w:eastAsia="Arial" w:hAnsi="Arial"/>
          <w:sz w:val="14"/>
          <w:szCs w:val="14"/>
          <w:b w:val="1"/>
          <w:bCs w:val="1"/>
          <w:color w:val="auto"/>
        </w:rPr>
        <w:t>N/A</w:t>
      </w:r>
    </w:p>
    <w:p>
      <w:pPr>
        <w:spacing w:after="0" w:line="125" w:lineRule="exact"/>
        <w:rPr>
          <w:sz w:val="24"/>
          <w:szCs w:val="24"/>
          <w:color w:val="auto"/>
        </w:rPr>
      </w:pPr>
    </w:p>
    <w:p>
      <w:pPr>
        <w:ind w:left="354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115"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157" w:lineRule="exact"/>
        <w:rPr>
          <w:sz w:val="24"/>
          <w:szCs w:val="24"/>
          <w:color w:val="auto"/>
        </w:rPr>
      </w:pPr>
    </w:p>
    <w:p>
      <w:pPr>
        <w:ind w:left="200" w:hanging="195"/>
        <w:spacing w:after="0"/>
        <w:tabs>
          <w:tab w:leader="none" w:pos="200" w:val="left"/>
        </w:tabs>
        <w:numPr>
          <w:ilvl w:val="0"/>
          <w:numId w:val="1"/>
        </w:numPr>
        <w:rPr>
          <w:rFonts w:ascii="MS PGothic" w:cs="MS PGothic" w:eastAsia="MS PGothic" w:hAnsi="MS PGothic"/>
          <w:sz w:val="17"/>
          <w:szCs w:val="17"/>
          <w:color w:val="auto"/>
        </w:rPr>
      </w:pPr>
      <w:r>
        <w:rPr>
          <w:rFonts w:ascii="Arial" w:cs="Arial" w:eastAsia="Arial" w:hAnsi="Arial"/>
          <w:sz w:val="14"/>
          <w:szCs w:val="14"/>
          <w:color w:val="auto"/>
        </w:rPr>
        <w:t>Written communications pursuant to Rule 425 under the Securities Act (17 CFR 230.425)</w:t>
      </w:r>
    </w:p>
    <w:p>
      <w:pPr>
        <w:spacing w:after="0" w:line="142" w:lineRule="exact"/>
        <w:rPr>
          <w:rFonts w:ascii="MS PGothic" w:cs="MS PGothic" w:eastAsia="MS PGothic" w:hAnsi="MS PGothic"/>
          <w:sz w:val="17"/>
          <w:szCs w:val="17"/>
          <w:color w:val="auto"/>
        </w:rPr>
      </w:pPr>
    </w:p>
    <w:p>
      <w:pPr>
        <w:ind w:left="200" w:hanging="195"/>
        <w:spacing w:after="0"/>
        <w:tabs>
          <w:tab w:leader="none" w:pos="200" w:val="left"/>
        </w:tabs>
        <w:numPr>
          <w:ilvl w:val="0"/>
          <w:numId w:val="1"/>
        </w:numPr>
        <w:rPr>
          <w:rFonts w:ascii="MS PGothic" w:cs="MS PGothic" w:eastAsia="MS PGothic" w:hAnsi="MS PGothic"/>
          <w:sz w:val="17"/>
          <w:szCs w:val="17"/>
          <w:color w:val="auto"/>
        </w:rPr>
      </w:pPr>
      <w:r>
        <w:rPr>
          <w:rFonts w:ascii="Arial" w:cs="Arial" w:eastAsia="Arial" w:hAnsi="Arial"/>
          <w:sz w:val="14"/>
          <w:szCs w:val="14"/>
          <w:color w:val="auto"/>
        </w:rPr>
        <w:t>Soliciting material pursuant to Rule 14a-12 under the Exchange Act (17 CFR 240.14a-12)</w:t>
      </w:r>
    </w:p>
    <w:p>
      <w:pPr>
        <w:spacing w:after="0" w:line="142" w:lineRule="exact"/>
        <w:rPr>
          <w:rFonts w:ascii="MS PGothic" w:cs="MS PGothic" w:eastAsia="MS PGothic" w:hAnsi="MS PGothic"/>
          <w:sz w:val="17"/>
          <w:szCs w:val="17"/>
          <w:color w:val="auto"/>
        </w:rPr>
      </w:pPr>
    </w:p>
    <w:p>
      <w:pPr>
        <w:ind w:left="200" w:hanging="195"/>
        <w:spacing w:after="0"/>
        <w:tabs>
          <w:tab w:leader="none" w:pos="200" w:val="left"/>
        </w:tabs>
        <w:numPr>
          <w:ilvl w:val="0"/>
          <w:numId w:val="1"/>
        </w:numPr>
        <w:rPr>
          <w:rFonts w:ascii="MS PGothic" w:cs="MS PGothic" w:eastAsia="MS PGothic" w:hAnsi="MS PGothic"/>
          <w:sz w:val="17"/>
          <w:szCs w:val="17"/>
          <w:color w:val="auto"/>
        </w:rPr>
      </w:pPr>
      <w:r>
        <w:rPr>
          <w:rFonts w:ascii="Arial" w:cs="Arial" w:eastAsia="Arial" w:hAnsi="Arial"/>
          <w:sz w:val="14"/>
          <w:szCs w:val="14"/>
          <w:color w:val="auto"/>
        </w:rPr>
        <w:t>Pre-commencement communications pursuant to Rule 14d-2(b) under the Exchange Act (17 CFR 240.14d-2(b))</w:t>
      </w:r>
    </w:p>
    <w:p>
      <w:pPr>
        <w:spacing w:after="0" w:line="142" w:lineRule="exact"/>
        <w:rPr>
          <w:rFonts w:ascii="MS PGothic" w:cs="MS PGothic" w:eastAsia="MS PGothic" w:hAnsi="MS PGothic"/>
          <w:sz w:val="17"/>
          <w:szCs w:val="17"/>
          <w:color w:val="auto"/>
        </w:rPr>
      </w:pPr>
    </w:p>
    <w:p>
      <w:pPr>
        <w:ind w:right="4100" w:firstLine="5"/>
        <w:spacing w:after="0" w:line="343" w:lineRule="auto"/>
        <w:tabs>
          <w:tab w:leader="none" w:pos="188" w:val="left"/>
        </w:tabs>
        <w:numPr>
          <w:ilvl w:val="0"/>
          <w:numId w:val="1"/>
        </w:numPr>
        <w:rPr>
          <w:rFonts w:ascii="MS PGothic" w:cs="MS PGothic" w:eastAsia="MS PGothic" w:hAnsi="MS PGothic"/>
          <w:sz w:val="17"/>
          <w:szCs w:val="17"/>
          <w:color w:val="auto"/>
        </w:rPr>
      </w:pPr>
      <w:r>
        <w:rPr>
          <w:rFonts w:ascii="Arial" w:cs="Arial" w:eastAsia="Arial" w:hAnsi="Arial"/>
          <w:sz w:val="14"/>
          <w:szCs w:val="14"/>
          <w:color w:val="auto"/>
        </w:rPr>
        <w:t>Pre-commencement communications pursuant to Rule 13e-4(c) under the Exchange Act (17 CFR 240.13e-4(c)) Securities registered pursuant to Section 12(b) of the Act:</w:t>
      </w:r>
    </w:p>
    <w:tbl>
      <w:tblPr>
        <w:tblLayout w:type="fixed"/>
        <w:tblInd w:w="30" w:type="dxa"/>
        <w:tblCellMar>
          <w:top w:w="0" w:type="dxa"/>
          <w:left w:w="0" w:type="dxa"/>
          <w:bottom w:w="0" w:type="dxa"/>
          <w:right w:w="0" w:type="dxa"/>
        </w:tblCellMar>
      </w:tblPr>
      <w:tr>
        <w:trPr>
          <w:trHeight w:val="171"/>
        </w:trPr>
        <w:tc>
          <w:tcPr>
            <w:tcW w:w="36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Title of each class</w:t>
            </w:r>
          </w:p>
        </w:tc>
        <w:tc>
          <w:tcPr>
            <w:tcW w:w="20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Trading Symbol(s)</w:t>
            </w:r>
          </w:p>
        </w:tc>
        <w:tc>
          <w:tcPr>
            <w:tcW w:w="56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71"/>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Common Stock, $0.001 Par Value</w:t>
            </w:r>
          </w:p>
        </w:tc>
        <w:tc>
          <w:tcPr>
            <w:tcW w:w="20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MOH</w:t>
            </w:r>
          </w:p>
        </w:tc>
        <w:tc>
          <w:tcPr>
            <w:tcW w:w="5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New York Stock Exchange</w:t>
            </w:r>
          </w:p>
        </w:tc>
      </w:tr>
    </w:tbl>
    <w:p>
      <w:pPr>
        <w:spacing w:after="0" w:line="70" w:lineRule="exact"/>
        <w:rPr>
          <w:sz w:val="24"/>
          <w:szCs w:val="24"/>
          <w:color w:val="auto"/>
        </w:rPr>
      </w:pPr>
    </w:p>
    <w:p>
      <w:pPr>
        <w:ind w:right="180"/>
        <w:spacing w:after="0" w:line="290"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5" w:lineRule="exact"/>
        <w:rPr>
          <w:sz w:val="24"/>
          <w:szCs w:val="24"/>
          <w:color w:val="auto"/>
        </w:rPr>
      </w:pPr>
    </w:p>
    <w:tbl>
      <w:tblPr>
        <w:tblLayout w:type="fixed"/>
        <w:tblInd w:w="0" w:type="dxa"/>
        <w:tblCellMar>
          <w:top w:w="0" w:type="dxa"/>
          <w:left w:w="0" w:type="dxa"/>
          <w:bottom w:w="0" w:type="dxa"/>
          <w:right w:w="0" w:type="dxa"/>
        </w:tblCellMar>
      </w:tblPr>
      <w:tr>
        <w:trPr>
          <w:trHeight w:val="286"/>
        </w:trPr>
        <w:tc>
          <w:tcPr>
            <w:tcW w:w="20" w:type="dxa"/>
            <w:vAlign w:val="bottom"/>
          </w:tcPr>
          <w:p>
            <w:pPr>
              <w:spacing w:after="0"/>
              <w:rPr>
                <w:sz w:val="24"/>
                <w:szCs w:val="24"/>
                <w:color w:val="auto"/>
              </w:rPr>
            </w:pPr>
          </w:p>
        </w:tc>
        <w:tc>
          <w:tcPr>
            <w:tcW w:w="11000" w:type="dxa"/>
            <w:vAlign w:val="bottom"/>
          </w:tcPr>
          <w:p>
            <w:pPr>
              <w:ind w:left="9220"/>
              <w:spacing w:after="0"/>
              <w:rPr>
                <w:sz w:val="20"/>
                <w:szCs w:val="20"/>
                <w:color w:val="auto"/>
              </w:rPr>
            </w:pPr>
            <w:r>
              <w:rPr>
                <w:rFonts w:ascii="Arial" w:cs="Arial" w:eastAsia="Arial" w:hAnsi="Arial"/>
                <w:sz w:val="14"/>
                <w:szCs w:val="14"/>
                <w:color w:val="auto"/>
              </w:rPr>
              <w:t>Emerging growth company</w:t>
            </w:r>
          </w:p>
        </w:tc>
        <w:tc>
          <w:tcPr>
            <w:tcW w:w="260" w:type="dxa"/>
            <w:vAlign w:val="bottom"/>
          </w:tcPr>
          <w:p>
            <w:pPr>
              <w:ind w:left="10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537"/>
        </w:trPr>
        <w:tc>
          <w:tcPr>
            <w:tcW w:w="20" w:type="dxa"/>
            <w:vAlign w:val="bottom"/>
          </w:tcPr>
          <w:p>
            <w:pPr>
              <w:spacing w:after="0"/>
              <w:rPr>
                <w:sz w:val="24"/>
                <w:szCs w:val="24"/>
                <w:color w:val="auto"/>
              </w:rPr>
            </w:pPr>
          </w:p>
        </w:tc>
        <w:tc>
          <w:tcPr>
            <w:tcW w:w="11000" w:type="dxa"/>
            <w:vAlign w:val="bottom"/>
          </w:tcPr>
          <w:p>
            <w:pPr>
              <w:spacing w:after="0"/>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w:t>
            </w:r>
          </w:p>
        </w:tc>
        <w:tc>
          <w:tcPr>
            <w:tcW w:w="260" w:type="dxa"/>
            <w:vAlign w:val="bottom"/>
            <w:vMerge w:val="restart"/>
          </w:tcPr>
          <w:p>
            <w:pPr>
              <w:ind w:left="10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0" w:type="dxa"/>
            <w:vAlign w:val="bottom"/>
          </w:tcPr>
          <w:p>
            <w:pPr>
              <w:spacing w:after="0"/>
              <w:rPr>
                <w:sz w:val="20"/>
                <w:szCs w:val="20"/>
                <w:color w:val="auto"/>
              </w:rPr>
            </w:pPr>
            <w:r>
              <w:rPr>
                <w:rFonts w:ascii="Arial" w:cs="Arial" w:eastAsia="Arial" w:hAnsi="Arial"/>
                <w:sz w:val="14"/>
                <w:szCs w:val="14"/>
                <w:color w:val="auto"/>
              </w:rPr>
              <w:t>accounting standards provided pursuant to Section 13(a) of the Exchange Act.</w:t>
            </w:r>
          </w:p>
        </w:tc>
        <w:tc>
          <w:tcPr>
            <w:tcW w:w="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10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4"/>
        </w:trPr>
        <w:tc>
          <w:tcPr>
            <w:tcW w:w="20" w:type="dxa"/>
            <w:vAlign w:val="bottom"/>
            <w:tcBorders>
              <w:bottom w:val="single" w:sz="8" w:color="9A9A9A"/>
            </w:tcBorders>
          </w:tcPr>
          <w:p>
            <w:pPr>
              <w:spacing w:after="0"/>
              <w:rPr>
                <w:sz w:val="24"/>
                <w:szCs w:val="24"/>
                <w:color w:val="auto"/>
              </w:rPr>
            </w:pPr>
          </w:p>
        </w:tc>
        <w:tc>
          <w:tcPr>
            <w:tcW w:w="110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18" w:right="319" w:bottom="1440" w:gutter="0" w:footer="0" w:header="0"/>
        </w:sectPr>
      </w:pPr>
    </w:p>
    <w:bookmarkStart w:id="1" w:name="page2"/>
    <w:bookmarkEnd w:id="1"/>
    <w:p>
      <w:pPr>
        <w:spacing w:after="0"/>
        <w:tabs>
          <w:tab w:leader="none" w:pos="780" w:val="left"/>
        </w:tabs>
        <w:rPr>
          <w:sz w:val="20"/>
          <w:szCs w:val="20"/>
          <w:color w:val="auto"/>
        </w:rPr>
      </w:pPr>
      <w:r>
        <w:rPr>
          <w:rFonts w:ascii="Arial" w:cs="Arial" w:eastAsia="Arial" w:hAnsi="Arial"/>
          <w:sz w:val="14"/>
          <w:szCs w:val="14"/>
          <w:b w:val="1"/>
          <w:bCs w:val="1"/>
          <w:color w:val="auto"/>
        </w:rPr>
        <w:t>Item 5.02.</w:t>
        <w:tab/>
        <w:t>Departure of Directors or Certain Officers; Election of Directors; Appointment of Certain Officers; Compensatory Arrangements of Certain Officers.</w:t>
      </w:r>
    </w:p>
    <w:p>
      <w:pPr>
        <w:spacing w:after="0" w:line="115" w:lineRule="exact"/>
        <w:rPr>
          <w:sz w:val="20"/>
          <w:szCs w:val="20"/>
          <w:color w:val="auto"/>
        </w:rPr>
      </w:pPr>
    </w:p>
    <w:p>
      <w:pPr>
        <w:ind w:right="140"/>
        <w:spacing w:after="0" w:line="265" w:lineRule="auto"/>
        <w:rPr>
          <w:sz w:val="20"/>
          <w:szCs w:val="20"/>
          <w:color w:val="auto"/>
        </w:rPr>
      </w:pPr>
      <w:r>
        <w:rPr>
          <w:rFonts w:ascii="Arial" w:cs="Arial" w:eastAsia="Arial" w:hAnsi="Arial"/>
          <w:sz w:val="14"/>
          <w:szCs w:val="14"/>
          <w:color w:val="auto"/>
        </w:rPr>
        <w:t>At the 2026 Annual Meeting of Stockholders (the “Annual Meeting”) of Molina Healthcare, Inc. (the “Company”) held on May 6, 2026, as further described in Item 5.07 below, the Company’s stockholders approved an amendment to the Company’s 2025 Equity Incentive Plan (the “2025 Plan Amendment”) to, increase the aggregate number of shares of the Company’s common stock authorized for issuance thereunder by 1,500,000 shares to 3,295,000 shares. The 2025 Plan Amendment previously had been approved, subject to stockholder approval, by the Company's Board of Directors.</w:t>
      </w:r>
    </w:p>
    <w:p>
      <w:pPr>
        <w:spacing w:after="0" w:line="159"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A summary of the material terms of the 2025 Plan Amendment is set forth in “Proposal 4, Approval of the Amendment to the Molina Healthcare, Inc. 2025 Equity Incentive Plan” in the Company’s definitive proxy statement for the Annual Meeting (the “Proxy Statement”) filed with the Securities and Exchange Commission on March 23, 2026, which description is incorporation herein by reference. That summary and the foregoing description of the 2025 Plan Amendment are qualified in their entirety by reference to the text of the 2025 Plan Amendment, a copy of which is filed as Exhibit 10.1 hereto and incorporated herein by reference</w:t>
      </w:r>
    </w:p>
    <w:p>
      <w:pPr>
        <w:spacing w:after="0" w:line="276"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5.03.</w:t>
        <w:tab/>
        <w:t>Amendments to Articles of Incorporation or Bylaws; Change in Fiscal Year.</w:t>
      </w:r>
    </w:p>
    <w:p>
      <w:pPr>
        <w:spacing w:after="0" w:line="125" w:lineRule="exact"/>
        <w:rPr>
          <w:sz w:val="20"/>
          <w:szCs w:val="20"/>
          <w:color w:val="auto"/>
        </w:rPr>
      </w:pPr>
    </w:p>
    <w:p>
      <w:pPr>
        <w:ind w:right="160"/>
        <w:spacing w:after="0" w:line="265" w:lineRule="auto"/>
        <w:rPr>
          <w:sz w:val="20"/>
          <w:szCs w:val="20"/>
          <w:color w:val="auto"/>
        </w:rPr>
      </w:pPr>
      <w:r>
        <w:rPr>
          <w:rFonts w:ascii="Arial" w:cs="Arial" w:eastAsia="Arial" w:hAnsi="Arial"/>
          <w:sz w:val="14"/>
          <w:szCs w:val="14"/>
          <w:color w:val="auto"/>
        </w:rPr>
        <w:t>On May 6, 2026, at the Annual Meeting, as further described in Item 5.07 below, the Company’s stockholders approved an amendment to the Company’s Amended and Restated Certificate of Incorporation to allow stockholders holding at least 20% of the voting power of the outstanding shares of capital stock of the Company to call a special meeting of stockholders, subject to the requirements and procedures set forth in the Company’s Amended and Restated Bylaws, as now or hereinafter in effect (the “Special Meeting Amendment”).</w:t>
      </w:r>
    </w:p>
    <w:p>
      <w:pPr>
        <w:spacing w:after="0" w:line="159" w:lineRule="exact"/>
        <w:rPr>
          <w:sz w:val="20"/>
          <w:szCs w:val="20"/>
          <w:color w:val="auto"/>
        </w:rPr>
      </w:pPr>
    </w:p>
    <w:p>
      <w:pPr>
        <w:ind w:right="440"/>
        <w:spacing w:after="0" w:line="290" w:lineRule="auto"/>
        <w:rPr>
          <w:sz w:val="20"/>
          <w:szCs w:val="20"/>
          <w:color w:val="auto"/>
        </w:rPr>
      </w:pPr>
      <w:r>
        <w:rPr>
          <w:rFonts w:ascii="Arial" w:cs="Arial" w:eastAsia="Arial" w:hAnsi="Arial"/>
          <w:sz w:val="14"/>
          <w:szCs w:val="14"/>
          <w:color w:val="auto"/>
        </w:rPr>
        <w:t>Following the Annual Meeting, on May 6, 2026, the Company filed a Certificate of Amendment with the Secretary of State of the State of Delaware, at which point the Special Meeting Amendment became effective.</w:t>
      </w:r>
    </w:p>
    <w:p>
      <w:pPr>
        <w:spacing w:after="0" w:line="141" w:lineRule="exact"/>
        <w:rPr>
          <w:sz w:val="20"/>
          <w:szCs w:val="20"/>
          <w:color w:val="auto"/>
        </w:rPr>
      </w:pPr>
    </w:p>
    <w:p>
      <w:pPr>
        <w:ind w:right="120"/>
        <w:spacing w:after="0" w:line="271" w:lineRule="auto"/>
        <w:rPr>
          <w:sz w:val="20"/>
          <w:szCs w:val="20"/>
          <w:color w:val="auto"/>
        </w:rPr>
      </w:pPr>
      <w:r>
        <w:rPr>
          <w:rFonts w:ascii="Arial" w:cs="Arial" w:eastAsia="Arial" w:hAnsi="Arial"/>
          <w:sz w:val="14"/>
          <w:szCs w:val="14"/>
          <w:color w:val="auto"/>
        </w:rPr>
        <w:t>In addition, on May 6, 2026, the Company’s Board of Directors (the “Board”) approved and adopted an amendment and restatement of the Company’s Amended and Restated Bylaws (as so amended and restated, the “Amended and Restated Bylaws”), effective immediately. Among other things, the amendments contained in the Amended and Restated Bylaws provide for the following:</w:t>
      </w:r>
    </w:p>
    <w:p>
      <w:pPr>
        <w:spacing w:after="0" w:line="187" w:lineRule="exact"/>
        <w:rPr>
          <w:sz w:val="20"/>
          <w:szCs w:val="20"/>
          <w:color w:val="auto"/>
        </w:rPr>
      </w:pPr>
    </w:p>
    <w:p>
      <w:pPr>
        <w:ind w:left="520" w:right="320" w:hanging="260"/>
        <w:spacing w:after="0" w:line="239" w:lineRule="auto"/>
        <w:tabs>
          <w:tab w:leader="none" w:pos="516" w:val="left"/>
        </w:tabs>
        <w:numPr>
          <w:ilvl w:val="0"/>
          <w:numId w:val="2"/>
        </w:numPr>
        <w:rPr>
          <w:rFonts w:ascii="Times New Roman" w:cs="Times New Roman" w:eastAsia="Times New Roman" w:hAnsi="Times New Roman"/>
          <w:sz w:val="17"/>
          <w:szCs w:val="17"/>
          <w:color w:val="auto"/>
        </w:rPr>
      </w:pPr>
      <w:r>
        <w:rPr>
          <w:rFonts w:ascii="Arial" w:cs="Arial" w:eastAsia="Arial" w:hAnsi="Arial"/>
          <w:sz w:val="14"/>
          <w:szCs w:val="14"/>
          <w:color w:val="auto"/>
        </w:rPr>
        <w:t>Requesting stockholder(s) must demonstrate that they own and have held continuously for at least one (1) year an aggregate of at least 20% of the voting power of the outstanding shares of capital stock of the Company.</w:t>
      </w:r>
    </w:p>
    <w:p>
      <w:pPr>
        <w:spacing w:after="0" w:line="91"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2"/>
        </w:numPr>
        <w:rPr>
          <w:rFonts w:ascii="Times New Roman" w:cs="Times New Roman" w:eastAsia="Times New Roman" w:hAnsi="Times New Roman"/>
          <w:sz w:val="17"/>
          <w:szCs w:val="17"/>
          <w:color w:val="auto"/>
        </w:rPr>
      </w:pPr>
      <w:r>
        <w:rPr>
          <w:rFonts w:ascii="Arial" w:cs="Arial" w:eastAsia="Arial" w:hAnsi="Arial"/>
          <w:sz w:val="14"/>
          <w:szCs w:val="14"/>
          <w:color w:val="auto"/>
        </w:rPr>
        <w:t>Requesting stockholder(s) must provide, among other things, the same information currently required by our Bylaws’ advance notice provisions.</w:t>
      </w:r>
    </w:p>
    <w:p>
      <w:pPr>
        <w:spacing w:after="0" w:line="90"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2"/>
        </w:numPr>
        <w:rPr>
          <w:rFonts w:ascii="Times New Roman" w:cs="Times New Roman" w:eastAsia="Times New Roman" w:hAnsi="Times New Roman"/>
          <w:sz w:val="17"/>
          <w:szCs w:val="17"/>
          <w:color w:val="auto"/>
        </w:rPr>
      </w:pPr>
      <w:r>
        <w:rPr>
          <w:rFonts w:ascii="Arial" w:cs="Arial" w:eastAsia="Arial" w:hAnsi="Arial"/>
          <w:sz w:val="14"/>
          <w:szCs w:val="14"/>
          <w:color w:val="auto"/>
        </w:rPr>
        <w:t>A special meeting request will not be valid if, among other things:</w:t>
      </w:r>
    </w:p>
    <w:p>
      <w:pPr>
        <w:spacing w:after="0" w:line="68" w:lineRule="exact"/>
        <w:rPr>
          <w:rFonts w:ascii="Times New Roman" w:cs="Times New Roman" w:eastAsia="Times New Roman" w:hAnsi="Times New Roman"/>
          <w:sz w:val="17"/>
          <w:szCs w:val="17"/>
          <w:color w:val="auto"/>
        </w:rPr>
      </w:pPr>
    </w:p>
    <w:p>
      <w:pPr>
        <w:ind w:left="1020" w:hanging="251"/>
        <w:spacing w:after="0"/>
        <w:tabs>
          <w:tab w:leader="none" w:pos="1020" w:val="left"/>
        </w:tabs>
        <w:numPr>
          <w:ilvl w:val="1"/>
          <w:numId w:val="2"/>
        </w:numPr>
        <w:rPr>
          <w:rFonts w:ascii="Arial" w:cs="Arial" w:eastAsia="Arial" w:hAnsi="Arial"/>
          <w:sz w:val="14"/>
          <w:szCs w:val="14"/>
          <w:color w:val="auto"/>
        </w:rPr>
      </w:pPr>
      <w:r>
        <w:rPr>
          <w:rFonts w:ascii="Arial" w:cs="Arial" w:eastAsia="Arial" w:hAnsi="Arial"/>
          <w:sz w:val="14"/>
          <w:szCs w:val="14"/>
          <w:color w:val="auto"/>
        </w:rPr>
        <w:t>The requesting stockholder(s) do(es) not satisfy the applicable procedural and disclosure requirements;</w:t>
      </w:r>
    </w:p>
    <w:p>
      <w:pPr>
        <w:spacing w:after="0" w:line="93" w:lineRule="exact"/>
        <w:rPr>
          <w:rFonts w:ascii="Arial" w:cs="Arial" w:eastAsia="Arial" w:hAnsi="Arial"/>
          <w:sz w:val="14"/>
          <w:szCs w:val="14"/>
          <w:color w:val="auto"/>
        </w:rPr>
      </w:pPr>
    </w:p>
    <w:p>
      <w:pPr>
        <w:ind w:left="1020" w:hanging="251"/>
        <w:spacing w:after="0"/>
        <w:tabs>
          <w:tab w:leader="none" w:pos="1020" w:val="left"/>
        </w:tabs>
        <w:numPr>
          <w:ilvl w:val="1"/>
          <w:numId w:val="2"/>
        </w:numPr>
        <w:rPr>
          <w:rFonts w:ascii="Arial" w:cs="Arial" w:eastAsia="Arial" w:hAnsi="Arial"/>
          <w:sz w:val="14"/>
          <w:szCs w:val="14"/>
          <w:color w:val="auto"/>
        </w:rPr>
      </w:pPr>
      <w:r>
        <w:rPr>
          <w:rFonts w:ascii="Arial" w:cs="Arial" w:eastAsia="Arial" w:hAnsi="Arial"/>
          <w:sz w:val="14"/>
          <w:szCs w:val="14"/>
          <w:color w:val="auto"/>
        </w:rPr>
        <w:t>the business requested to be transacted at such meeting is not a proper subject for stockholder action under applicable law;</w:t>
      </w:r>
    </w:p>
    <w:p>
      <w:pPr>
        <w:spacing w:after="0" w:line="93" w:lineRule="exact"/>
        <w:rPr>
          <w:rFonts w:ascii="Arial" w:cs="Arial" w:eastAsia="Arial" w:hAnsi="Arial"/>
          <w:sz w:val="14"/>
          <w:szCs w:val="14"/>
          <w:color w:val="auto"/>
        </w:rPr>
      </w:pPr>
    </w:p>
    <w:p>
      <w:pPr>
        <w:ind w:left="1020" w:right="340" w:hanging="251"/>
        <w:spacing w:after="0" w:line="290" w:lineRule="auto"/>
        <w:tabs>
          <w:tab w:leader="none" w:pos="1017" w:val="left"/>
        </w:tabs>
        <w:numPr>
          <w:ilvl w:val="1"/>
          <w:numId w:val="2"/>
        </w:numPr>
        <w:rPr>
          <w:rFonts w:ascii="Arial" w:cs="Arial" w:eastAsia="Arial" w:hAnsi="Arial"/>
          <w:sz w:val="14"/>
          <w:szCs w:val="14"/>
          <w:color w:val="auto"/>
        </w:rPr>
      </w:pPr>
      <w:r>
        <w:rPr>
          <w:rFonts w:ascii="Arial" w:cs="Arial" w:eastAsia="Arial" w:hAnsi="Arial"/>
          <w:sz w:val="14"/>
          <w:szCs w:val="14"/>
          <w:color w:val="auto"/>
        </w:rPr>
        <w:t>the business proposed to be conducted at the meeting (other than the election of directors) is identical or substantially similar to an item of business (a “Similar Item”) for which a record date was previously fixed, and the request is delivered between the 61st day after and the one-year anniversary of such record date;</w:t>
      </w:r>
    </w:p>
    <w:p>
      <w:pPr>
        <w:spacing w:after="0" w:line="35" w:lineRule="exact"/>
        <w:rPr>
          <w:rFonts w:ascii="Arial" w:cs="Arial" w:eastAsia="Arial" w:hAnsi="Arial"/>
          <w:sz w:val="14"/>
          <w:szCs w:val="14"/>
          <w:color w:val="auto"/>
        </w:rPr>
      </w:pPr>
    </w:p>
    <w:p>
      <w:pPr>
        <w:ind w:left="1020" w:hanging="251"/>
        <w:spacing w:after="0"/>
        <w:tabs>
          <w:tab w:leader="none" w:pos="1020" w:val="left"/>
        </w:tabs>
        <w:numPr>
          <w:ilvl w:val="1"/>
          <w:numId w:val="2"/>
        </w:numPr>
        <w:rPr>
          <w:rFonts w:ascii="Arial" w:cs="Arial" w:eastAsia="Arial" w:hAnsi="Arial"/>
          <w:sz w:val="14"/>
          <w:szCs w:val="14"/>
          <w:color w:val="auto"/>
        </w:rPr>
      </w:pPr>
      <w:r>
        <w:rPr>
          <w:rFonts w:ascii="Arial" w:cs="Arial" w:eastAsia="Arial" w:hAnsi="Arial"/>
          <w:sz w:val="14"/>
          <w:szCs w:val="14"/>
          <w:color w:val="auto"/>
        </w:rPr>
        <w:t>a Similar Item was covered at the most recent annual meeting or at a special meeting held within one year prior to the date on which the request was received;</w:t>
      </w:r>
    </w:p>
    <w:p>
      <w:pPr>
        <w:spacing w:after="0" w:line="93" w:lineRule="exact"/>
        <w:rPr>
          <w:rFonts w:ascii="Arial" w:cs="Arial" w:eastAsia="Arial" w:hAnsi="Arial"/>
          <w:sz w:val="14"/>
          <w:szCs w:val="14"/>
          <w:color w:val="auto"/>
        </w:rPr>
      </w:pPr>
    </w:p>
    <w:p>
      <w:pPr>
        <w:ind w:left="1020" w:hanging="251"/>
        <w:spacing w:after="0"/>
        <w:tabs>
          <w:tab w:leader="none" w:pos="1020" w:val="left"/>
        </w:tabs>
        <w:numPr>
          <w:ilvl w:val="1"/>
          <w:numId w:val="2"/>
        </w:numPr>
        <w:rPr>
          <w:rFonts w:ascii="Arial" w:cs="Arial" w:eastAsia="Arial" w:hAnsi="Arial"/>
          <w:sz w:val="14"/>
          <w:szCs w:val="14"/>
          <w:color w:val="auto"/>
        </w:rPr>
      </w:pPr>
      <w:r>
        <w:rPr>
          <w:rFonts w:ascii="Arial" w:cs="Arial" w:eastAsia="Arial" w:hAnsi="Arial"/>
          <w:sz w:val="14"/>
          <w:szCs w:val="14"/>
          <w:color w:val="auto"/>
        </w:rPr>
        <w:t>a Similar Item of business is to be covered at a stockholder meeting called by the Board to be held within 90 days after the request is received; or</w:t>
      </w:r>
    </w:p>
    <w:p>
      <w:pPr>
        <w:spacing w:after="0" w:line="93" w:lineRule="exact"/>
        <w:rPr>
          <w:rFonts w:ascii="Arial" w:cs="Arial" w:eastAsia="Arial" w:hAnsi="Arial"/>
          <w:sz w:val="14"/>
          <w:szCs w:val="14"/>
          <w:color w:val="auto"/>
        </w:rPr>
      </w:pPr>
    </w:p>
    <w:p>
      <w:pPr>
        <w:ind w:left="1020" w:right="80" w:hanging="251"/>
        <w:spacing w:after="0" w:line="290" w:lineRule="auto"/>
        <w:tabs>
          <w:tab w:leader="none" w:pos="1017" w:val="left"/>
        </w:tabs>
        <w:numPr>
          <w:ilvl w:val="1"/>
          <w:numId w:val="2"/>
        </w:numPr>
        <w:rPr>
          <w:rFonts w:ascii="Arial" w:cs="Arial" w:eastAsia="Arial" w:hAnsi="Arial"/>
          <w:sz w:val="14"/>
          <w:szCs w:val="14"/>
          <w:color w:val="auto"/>
        </w:rPr>
      </w:pPr>
      <w:r>
        <w:rPr>
          <w:rFonts w:ascii="Arial" w:cs="Arial" w:eastAsia="Arial" w:hAnsi="Arial"/>
          <w:sz w:val="14"/>
          <w:szCs w:val="14"/>
          <w:color w:val="auto"/>
        </w:rPr>
        <w:t>a Similar Item has been presented at the most recent annual meeting of stockholders or at any special meeting of stockholders held within one year prior to receipt of the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457200</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6" w:right="339" w:bottom="1440" w:gutter="0" w:footer="0" w:header="0"/>
        </w:sectPr>
      </w:pPr>
    </w:p>
    <w:bookmarkStart w:id="2" w:name="page3"/>
    <w:bookmarkEnd w:id="2"/>
    <w:p>
      <w:pPr>
        <w:spacing w:after="0"/>
        <w:rPr>
          <w:sz w:val="20"/>
          <w:szCs w:val="20"/>
          <w:color w:val="auto"/>
        </w:rPr>
      </w:pPr>
      <w:r>
        <w:rPr>
          <w:rFonts w:ascii="Arial" w:cs="Arial" w:eastAsia="Arial" w:hAnsi="Arial"/>
          <w:sz w:val="14"/>
          <w:szCs w:val="14"/>
          <w:color w:val="auto"/>
        </w:rPr>
        <w:t>The Amended and Restated Bylaws also incorporate certain technical, modernizing, clarifying and conforming changes.</w:t>
      </w:r>
    </w:p>
    <w:p>
      <w:pPr>
        <w:spacing w:after="0" w:line="200" w:lineRule="exact"/>
        <w:rPr>
          <w:sz w:val="20"/>
          <w:szCs w:val="20"/>
          <w:color w:val="auto"/>
        </w:rPr>
      </w:pPr>
    </w:p>
    <w:p>
      <w:pPr>
        <w:jc w:val="both"/>
        <w:ind w:right="80"/>
        <w:spacing w:after="0" w:line="271" w:lineRule="auto"/>
        <w:rPr>
          <w:sz w:val="20"/>
          <w:szCs w:val="20"/>
          <w:color w:val="auto"/>
        </w:rPr>
      </w:pPr>
      <w:r>
        <w:rPr>
          <w:rFonts w:ascii="Arial" w:cs="Arial" w:eastAsia="Arial" w:hAnsi="Arial"/>
          <w:sz w:val="14"/>
          <w:szCs w:val="14"/>
          <w:color w:val="auto"/>
        </w:rPr>
        <w:t>The foregoing descriptions of the Special Meeting Amendment and the Amended and Restated Bylaws do not purport to be complete and are qualified in their entirety by reference to the full text of the Certificate of Amendment and Amended and Restated Bylaws, as applicable, which are attached hereto as Exhibits 3.1 and 3.2, respectively, and incorporated herein by reference.</w:t>
      </w:r>
    </w:p>
    <w:p>
      <w:pPr>
        <w:spacing w:after="0" w:line="272"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5.07.</w:t>
        <w:tab/>
        <w:t>Submission of Matters to a Vote of Security Holders.</w:t>
      </w:r>
    </w:p>
    <w:p>
      <w:pPr>
        <w:spacing w:after="0" w:line="115" w:lineRule="exact"/>
        <w:rPr>
          <w:sz w:val="20"/>
          <w:szCs w:val="20"/>
          <w:color w:val="auto"/>
        </w:rPr>
      </w:pPr>
    </w:p>
    <w:p>
      <w:pPr>
        <w:jc w:val="both"/>
        <w:ind w:right="80"/>
        <w:spacing w:after="0" w:line="271" w:lineRule="auto"/>
        <w:rPr>
          <w:sz w:val="20"/>
          <w:szCs w:val="20"/>
          <w:color w:val="auto"/>
        </w:rPr>
      </w:pPr>
      <w:r>
        <w:rPr>
          <w:rFonts w:ascii="Arial" w:cs="Arial" w:eastAsia="Arial" w:hAnsi="Arial"/>
          <w:sz w:val="14"/>
          <w:szCs w:val="14"/>
          <w:color w:val="auto"/>
        </w:rPr>
        <w:t>On May 6, 2026, the Company held its Annual Meeting. As of the close of business on March 9, 2026 (the “Record Date”), a total of 52,091,073 shares of the Company’s common stock (the “Common Stock”) were issued and outstanding. At the Annual Meeting, holders of 47,172,628 shares of Common Stock, or 90.55% of shares outstanding on the Record Date, were represented in person or by proxy, constituting a quorum. All director nominees were duly elected, and all proposals were approved by stockholders.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With regard to Proposal No. 1, for the election of the ten directors named below to hold office until the 2027 annual meeting, the stockholders voted as follows:</w:t>
      </w:r>
    </w:p>
    <w:p>
      <w:pPr>
        <w:spacing w:after="0" w:line="113"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200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Director</w:t>
            </w:r>
          </w:p>
        </w:tc>
        <w:tc>
          <w:tcPr>
            <w:tcW w:w="1760" w:type="dxa"/>
            <w:vAlign w:val="bottom"/>
            <w:vMerge w:val="restart"/>
          </w:tcPr>
          <w:p>
            <w:pPr>
              <w:jc w:val="center"/>
              <w:ind w:left="129"/>
              <w:spacing w:after="0"/>
              <w:rPr>
                <w:sz w:val="20"/>
                <w:szCs w:val="20"/>
                <w:color w:val="auto"/>
              </w:rPr>
            </w:pPr>
            <w:r>
              <w:rPr>
                <w:rFonts w:ascii="Arial" w:cs="Arial" w:eastAsia="Arial" w:hAnsi="Arial"/>
                <w:sz w:val="14"/>
                <w:szCs w:val="14"/>
                <w:b w:val="1"/>
                <w:bCs w:val="1"/>
                <w:color w:val="auto"/>
                <w:w w:val="99"/>
              </w:rPr>
              <w:t>Votes For</w:t>
            </w:r>
          </w:p>
        </w:tc>
        <w:tc>
          <w:tcPr>
            <w:tcW w:w="174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Votes Against</w:t>
            </w:r>
          </w:p>
        </w:tc>
        <w:tc>
          <w:tcPr>
            <w:tcW w:w="166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Abstentions</w:t>
            </w:r>
          </w:p>
        </w:tc>
        <w:tc>
          <w:tcPr>
            <w:tcW w:w="1140" w:type="dxa"/>
            <w:vAlign w:val="bottom"/>
          </w:tcPr>
          <w:p>
            <w:pPr>
              <w:jc w:val="center"/>
              <w:ind w:left="369"/>
              <w:spacing w:after="0"/>
              <w:rPr>
                <w:sz w:val="20"/>
                <w:szCs w:val="20"/>
                <w:color w:val="auto"/>
              </w:rPr>
            </w:pPr>
            <w:r>
              <w:rPr>
                <w:rFonts w:ascii="Arial" w:cs="Arial" w:eastAsia="Arial" w:hAnsi="Arial"/>
                <w:sz w:val="14"/>
                <w:szCs w:val="14"/>
                <w:b w:val="1"/>
                <w:bCs w:val="1"/>
                <w:color w:val="auto"/>
              </w:rPr>
              <w:t>Broker</w:t>
            </w:r>
          </w:p>
        </w:tc>
        <w:tc>
          <w:tcPr>
            <w:tcW w:w="0" w:type="dxa"/>
            <w:vAlign w:val="bottom"/>
          </w:tcPr>
          <w:p>
            <w:pPr>
              <w:spacing w:after="0"/>
              <w:rPr>
                <w:sz w:val="1"/>
                <w:szCs w:val="1"/>
                <w:color w:val="auto"/>
              </w:rPr>
            </w:pPr>
          </w:p>
        </w:tc>
      </w:tr>
      <w:tr>
        <w:trPr>
          <w:trHeight w:val="180"/>
        </w:trPr>
        <w:tc>
          <w:tcPr>
            <w:tcW w:w="2000" w:type="dxa"/>
            <w:vAlign w:val="bottom"/>
            <w:vMerge w:val="continue"/>
          </w:tcPr>
          <w:p>
            <w:pPr>
              <w:spacing w:after="0"/>
              <w:rPr>
                <w:sz w:val="15"/>
                <w:szCs w:val="15"/>
                <w:color w:val="auto"/>
              </w:rPr>
            </w:pPr>
          </w:p>
        </w:tc>
        <w:tc>
          <w:tcPr>
            <w:tcW w:w="1760" w:type="dxa"/>
            <w:vAlign w:val="bottom"/>
            <w:vMerge w:val="continue"/>
          </w:tcPr>
          <w:p>
            <w:pPr>
              <w:spacing w:after="0"/>
              <w:rPr>
                <w:sz w:val="15"/>
                <w:szCs w:val="15"/>
                <w:color w:val="auto"/>
              </w:rPr>
            </w:pPr>
          </w:p>
        </w:tc>
        <w:tc>
          <w:tcPr>
            <w:tcW w:w="1740" w:type="dxa"/>
            <w:vAlign w:val="bottom"/>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1140" w:type="dxa"/>
            <w:vAlign w:val="bottom"/>
          </w:tcPr>
          <w:p>
            <w:pPr>
              <w:jc w:val="center"/>
              <w:ind w:left="369"/>
              <w:spacing w:after="0"/>
              <w:rPr>
                <w:sz w:val="20"/>
                <w:szCs w:val="20"/>
                <w:color w:val="auto"/>
              </w:rPr>
            </w:pPr>
            <w:r>
              <w:rPr>
                <w:rFonts w:ascii="Arial" w:cs="Arial" w:eastAsia="Arial" w:hAnsi="Arial"/>
                <w:sz w:val="14"/>
                <w:szCs w:val="14"/>
                <w:b w:val="1"/>
                <w:bCs w:val="1"/>
                <w:color w:val="auto"/>
                <w:w w:val="99"/>
              </w:rPr>
              <w:t>Non-Votes</w:t>
            </w:r>
          </w:p>
        </w:tc>
        <w:tc>
          <w:tcPr>
            <w:tcW w:w="0" w:type="dxa"/>
            <w:vAlign w:val="bottom"/>
          </w:tcPr>
          <w:p>
            <w:pPr>
              <w:spacing w:after="0"/>
              <w:rPr>
                <w:sz w:val="1"/>
                <w:szCs w:val="1"/>
                <w:color w:val="auto"/>
              </w:rPr>
            </w:pPr>
          </w:p>
        </w:tc>
      </w:tr>
      <w:tr>
        <w:trPr>
          <w:trHeight w:val="180"/>
        </w:trPr>
        <w:tc>
          <w:tcPr>
            <w:tcW w:w="2000" w:type="dxa"/>
            <w:vAlign w:val="bottom"/>
          </w:tcPr>
          <w:p>
            <w:pPr>
              <w:spacing w:after="0"/>
              <w:rPr>
                <w:sz w:val="20"/>
                <w:szCs w:val="20"/>
                <w:color w:val="auto"/>
              </w:rPr>
            </w:pPr>
            <w:r>
              <w:rPr>
                <w:rFonts w:ascii="Arial" w:cs="Arial" w:eastAsia="Arial" w:hAnsi="Arial"/>
                <w:sz w:val="14"/>
                <w:szCs w:val="14"/>
                <w:color w:val="auto"/>
              </w:rPr>
              <w:t>Barbara L. Brasier</w:t>
            </w:r>
          </w:p>
        </w:tc>
        <w:tc>
          <w:tcPr>
            <w:tcW w:w="1760" w:type="dxa"/>
            <w:vAlign w:val="bottom"/>
          </w:tcPr>
          <w:p>
            <w:pPr>
              <w:jc w:val="center"/>
              <w:ind w:left="149"/>
              <w:spacing w:after="0"/>
              <w:rPr>
                <w:sz w:val="20"/>
                <w:szCs w:val="20"/>
                <w:color w:val="auto"/>
              </w:rPr>
            </w:pPr>
            <w:r>
              <w:rPr>
                <w:rFonts w:ascii="Arial" w:cs="Arial" w:eastAsia="Arial" w:hAnsi="Arial"/>
                <w:sz w:val="14"/>
                <w:szCs w:val="14"/>
                <w:color w:val="auto"/>
                <w:w w:val="99"/>
              </w:rPr>
              <w:t>41,403,098</w:t>
            </w:r>
          </w:p>
        </w:tc>
        <w:tc>
          <w:tcPr>
            <w:tcW w:w="1740" w:type="dxa"/>
            <w:vAlign w:val="bottom"/>
          </w:tcPr>
          <w:p>
            <w:pPr>
              <w:jc w:val="center"/>
              <w:spacing w:after="0"/>
              <w:rPr>
                <w:sz w:val="20"/>
                <w:szCs w:val="20"/>
                <w:color w:val="auto"/>
              </w:rPr>
            </w:pPr>
            <w:r>
              <w:rPr>
                <w:rFonts w:ascii="Arial" w:cs="Arial" w:eastAsia="Arial" w:hAnsi="Arial"/>
                <w:sz w:val="14"/>
                <w:szCs w:val="14"/>
                <w:color w:val="auto"/>
              </w:rPr>
              <w:t>1,173,580</w:t>
            </w:r>
          </w:p>
        </w:tc>
        <w:tc>
          <w:tcPr>
            <w:tcW w:w="1660" w:type="dxa"/>
            <w:vAlign w:val="bottom"/>
          </w:tcPr>
          <w:p>
            <w:pPr>
              <w:jc w:val="center"/>
              <w:spacing w:after="0"/>
              <w:rPr>
                <w:sz w:val="20"/>
                <w:szCs w:val="20"/>
                <w:color w:val="auto"/>
              </w:rPr>
            </w:pPr>
            <w:r>
              <w:rPr>
                <w:rFonts w:ascii="Arial" w:cs="Arial" w:eastAsia="Arial" w:hAnsi="Arial"/>
                <w:sz w:val="14"/>
                <w:szCs w:val="14"/>
                <w:color w:val="auto"/>
              </w:rPr>
              <w:t>50,838</w:t>
            </w:r>
          </w:p>
        </w:tc>
        <w:tc>
          <w:tcPr>
            <w:tcW w:w="1140" w:type="dxa"/>
            <w:vAlign w:val="bottom"/>
          </w:tcPr>
          <w:p>
            <w:pPr>
              <w:jc w:val="center"/>
              <w:ind w:left="369"/>
              <w:spacing w:after="0"/>
              <w:rPr>
                <w:sz w:val="20"/>
                <w:szCs w:val="20"/>
                <w:color w:val="auto"/>
              </w:rPr>
            </w:pPr>
            <w:r>
              <w:rPr>
                <w:rFonts w:ascii="Arial" w:cs="Arial" w:eastAsia="Arial" w:hAnsi="Arial"/>
                <w:sz w:val="14"/>
                <w:szCs w:val="14"/>
                <w:color w:val="auto"/>
                <w:w w:val="99"/>
              </w:rPr>
              <w:t>4,545,112</w:t>
            </w:r>
          </w:p>
        </w:tc>
        <w:tc>
          <w:tcPr>
            <w:tcW w:w="0" w:type="dxa"/>
            <w:vAlign w:val="bottom"/>
          </w:tcPr>
          <w:p>
            <w:pPr>
              <w:spacing w:after="0"/>
              <w:rPr>
                <w:sz w:val="1"/>
                <w:szCs w:val="1"/>
                <w:color w:val="auto"/>
              </w:rPr>
            </w:pPr>
          </w:p>
        </w:tc>
      </w:tr>
      <w:tr>
        <w:trPr>
          <w:trHeight w:val="180"/>
        </w:trPr>
        <w:tc>
          <w:tcPr>
            <w:tcW w:w="2000" w:type="dxa"/>
            <w:vAlign w:val="bottom"/>
          </w:tcPr>
          <w:p>
            <w:pPr>
              <w:spacing w:after="0"/>
              <w:rPr>
                <w:sz w:val="20"/>
                <w:szCs w:val="20"/>
                <w:color w:val="auto"/>
              </w:rPr>
            </w:pPr>
            <w:r>
              <w:rPr>
                <w:rFonts w:ascii="Arial" w:cs="Arial" w:eastAsia="Arial" w:hAnsi="Arial"/>
                <w:sz w:val="14"/>
                <w:szCs w:val="14"/>
                <w:color w:val="auto"/>
              </w:rPr>
              <w:t>Leo P. Grohowski</w:t>
            </w:r>
          </w:p>
        </w:tc>
        <w:tc>
          <w:tcPr>
            <w:tcW w:w="1760" w:type="dxa"/>
            <w:vAlign w:val="bottom"/>
          </w:tcPr>
          <w:p>
            <w:pPr>
              <w:jc w:val="center"/>
              <w:ind w:left="149"/>
              <w:spacing w:after="0"/>
              <w:rPr>
                <w:sz w:val="20"/>
                <w:szCs w:val="20"/>
                <w:color w:val="auto"/>
              </w:rPr>
            </w:pPr>
            <w:r>
              <w:rPr>
                <w:rFonts w:ascii="Arial" w:cs="Arial" w:eastAsia="Arial" w:hAnsi="Arial"/>
                <w:sz w:val="14"/>
                <w:szCs w:val="14"/>
                <w:color w:val="auto"/>
                <w:w w:val="99"/>
              </w:rPr>
              <w:t>41,418,155</w:t>
            </w:r>
          </w:p>
        </w:tc>
        <w:tc>
          <w:tcPr>
            <w:tcW w:w="1740" w:type="dxa"/>
            <w:vAlign w:val="bottom"/>
          </w:tcPr>
          <w:p>
            <w:pPr>
              <w:jc w:val="center"/>
              <w:spacing w:after="0"/>
              <w:rPr>
                <w:sz w:val="20"/>
                <w:szCs w:val="20"/>
                <w:color w:val="auto"/>
              </w:rPr>
            </w:pPr>
            <w:r>
              <w:rPr>
                <w:rFonts w:ascii="Arial" w:cs="Arial" w:eastAsia="Arial" w:hAnsi="Arial"/>
                <w:sz w:val="14"/>
                <w:szCs w:val="14"/>
                <w:color w:val="auto"/>
              </w:rPr>
              <w:t>1,159,784</w:t>
            </w:r>
          </w:p>
        </w:tc>
        <w:tc>
          <w:tcPr>
            <w:tcW w:w="1660" w:type="dxa"/>
            <w:vAlign w:val="bottom"/>
          </w:tcPr>
          <w:p>
            <w:pPr>
              <w:jc w:val="center"/>
              <w:spacing w:after="0"/>
              <w:rPr>
                <w:sz w:val="20"/>
                <w:szCs w:val="20"/>
                <w:color w:val="auto"/>
              </w:rPr>
            </w:pPr>
            <w:r>
              <w:rPr>
                <w:rFonts w:ascii="Arial" w:cs="Arial" w:eastAsia="Arial" w:hAnsi="Arial"/>
                <w:sz w:val="14"/>
                <w:szCs w:val="14"/>
                <w:color w:val="auto"/>
              </w:rPr>
              <w:t>49,577</w:t>
            </w:r>
          </w:p>
        </w:tc>
        <w:tc>
          <w:tcPr>
            <w:tcW w:w="1140" w:type="dxa"/>
            <w:vAlign w:val="bottom"/>
          </w:tcPr>
          <w:p>
            <w:pPr>
              <w:jc w:val="center"/>
              <w:ind w:left="369"/>
              <w:spacing w:after="0"/>
              <w:rPr>
                <w:sz w:val="20"/>
                <w:szCs w:val="20"/>
                <w:color w:val="auto"/>
              </w:rPr>
            </w:pPr>
            <w:r>
              <w:rPr>
                <w:rFonts w:ascii="Arial" w:cs="Arial" w:eastAsia="Arial" w:hAnsi="Arial"/>
                <w:sz w:val="14"/>
                <w:szCs w:val="14"/>
                <w:color w:val="auto"/>
                <w:w w:val="99"/>
              </w:rPr>
              <w:t>4,545,112</w:t>
            </w:r>
          </w:p>
        </w:tc>
        <w:tc>
          <w:tcPr>
            <w:tcW w:w="0" w:type="dxa"/>
            <w:vAlign w:val="bottom"/>
          </w:tcPr>
          <w:p>
            <w:pPr>
              <w:spacing w:after="0"/>
              <w:rPr>
                <w:sz w:val="1"/>
                <w:szCs w:val="1"/>
                <w:color w:val="auto"/>
              </w:rPr>
            </w:pPr>
          </w:p>
        </w:tc>
      </w:tr>
      <w:tr>
        <w:trPr>
          <w:trHeight w:val="180"/>
        </w:trPr>
        <w:tc>
          <w:tcPr>
            <w:tcW w:w="2000" w:type="dxa"/>
            <w:vAlign w:val="bottom"/>
          </w:tcPr>
          <w:p>
            <w:pPr>
              <w:spacing w:after="0"/>
              <w:rPr>
                <w:sz w:val="20"/>
                <w:szCs w:val="20"/>
                <w:color w:val="auto"/>
              </w:rPr>
            </w:pPr>
            <w:r>
              <w:rPr>
                <w:rFonts w:ascii="Arial" w:cs="Arial" w:eastAsia="Arial" w:hAnsi="Arial"/>
                <w:sz w:val="14"/>
                <w:szCs w:val="14"/>
                <w:color w:val="auto"/>
              </w:rPr>
              <w:t>Stephen H. Lockhart</w:t>
            </w:r>
          </w:p>
        </w:tc>
        <w:tc>
          <w:tcPr>
            <w:tcW w:w="1760" w:type="dxa"/>
            <w:vAlign w:val="bottom"/>
          </w:tcPr>
          <w:p>
            <w:pPr>
              <w:jc w:val="center"/>
              <w:ind w:left="149"/>
              <w:spacing w:after="0"/>
              <w:rPr>
                <w:sz w:val="20"/>
                <w:szCs w:val="20"/>
                <w:color w:val="auto"/>
              </w:rPr>
            </w:pPr>
            <w:r>
              <w:rPr>
                <w:rFonts w:ascii="Arial" w:cs="Arial" w:eastAsia="Arial" w:hAnsi="Arial"/>
                <w:sz w:val="14"/>
                <w:szCs w:val="14"/>
                <w:color w:val="auto"/>
                <w:w w:val="99"/>
              </w:rPr>
              <w:t>42,374,279</w:t>
            </w:r>
          </w:p>
        </w:tc>
        <w:tc>
          <w:tcPr>
            <w:tcW w:w="1740" w:type="dxa"/>
            <w:vAlign w:val="bottom"/>
          </w:tcPr>
          <w:p>
            <w:pPr>
              <w:jc w:val="center"/>
              <w:spacing w:after="0"/>
              <w:rPr>
                <w:sz w:val="20"/>
                <w:szCs w:val="20"/>
                <w:color w:val="auto"/>
              </w:rPr>
            </w:pPr>
            <w:r>
              <w:rPr>
                <w:rFonts w:ascii="Arial" w:cs="Arial" w:eastAsia="Arial" w:hAnsi="Arial"/>
                <w:sz w:val="14"/>
                <w:szCs w:val="14"/>
                <w:color w:val="auto"/>
              </w:rPr>
              <w:t>205,101</w:t>
            </w:r>
          </w:p>
        </w:tc>
        <w:tc>
          <w:tcPr>
            <w:tcW w:w="1660" w:type="dxa"/>
            <w:vAlign w:val="bottom"/>
          </w:tcPr>
          <w:p>
            <w:pPr>
              <w:jc w:val="center"/>
              <w:spacing w:after="0"/>
              <w:rPr>
                <w:sz w:val="20"/>
                <w:szCs w:val="20"/>
                <w:color w:val="auto"/>
              </w:rPr>
            </w:pPr>
            <w:r>
              <w:rPr>
                <w:rFonts w:ascii="Arial" w:cs="Arial" w:eastAsia="Arial" w:hAnsi="Arial"/>
                <w:sz w:val="14"/>
                <w:szCs w:val="14"/>
                <w:color w:val="auto"/>
              </w:rPr>
              <w:t>48,136</w:t>
            </w:r>
          </w:p>
        </w:tc>
        <w:tc>
          <w:tcPr>
            <w:tcW w:w="1140" w:type="dxa"/>
            <w:vAlign w:val="bottom"/>
          </w:tcPr>
          <w:p>
            <w:pPr>
              <w:jc w:val="center"/>
              <w:ind w:left="369"/>
              <w:spacing w:after="0"/>
              <w:rPr>
                <w:sz w:val="20"/>
                <w:szCs w:val="20"/>
                <w:color w:val="auto"/>
              </w:rPr>
            </w:pPr>
            <w:r>
              <w:rPr>
                <w:rFonts w:ascii="Arial" w:cs="Arial" w:eastAsia="Arial" w:hAnsi="Arial"/>
                <w:sz w:val="14"/>
                <w:szCs w:val="14"/>
                <w:color w:val="auto"/>
                <w:w w:val="99"/>
              </w:rPr>
              <w:t>4,545,112</w:t>
            </w:r>
          </w:p>
        </w:tc>
        <w:tc>
          <w:tcPr>
            <w:tcW w:w="0" w:type="dxa"/>
            <w:vAlign w:val="bottom"/>
          </w:tcPr>
          <w:p>
            <w:pPr>
              <w:spacing w:after="0"/>
              <w:rPr>
                <w:sz w:val="1"/>
                <w:szCs w:val="1"/>
                <w:color w:val="auto"/>
              </w:rPr>
            </w:pPr>
          </w:p>
        </w:tc>
      </w:tr>
      <w:tr>
        <w:trPr>
          <w:trHeight w:val="180"/>
        </w:trPr>
        <w:tc>
          <w:tcPr>
            <w:tcW w:w="2000" w:type="dxa"/>
            <w:vAlign w:val="bottom"/>
          </w:tcPr>
          <w:p>
            <w:pPr>
              <w:spacing w:after="0"/>
              <w:rPr>
                <w:sz w:val="20"/>
                <w:szCs w:val="20"/>
                <w:color w:val="auto"/>
              </w:rPr>
            </w:pPr>
            <w:r>
              <w:rPr>
                <w:rFonts w:ascii="Arial" w:cs="Arial" w:eastAsia="Arial" w:hAnsi="Arial"/>
                <w:sz w:val="14"/>
                <w:szCs w:val="14"/>
                <w:color w:val="auto"/>
              </w:rPr>
              <w:t>Steven J. Orlando</w:t>
            </w:r>
          </w:p>
        </w:tc>
        <w:tc>
          <w:tcPr>
            <w:tcW w:w="1760" w:type="dxa"/>
            <w:vAlign w:val="bottom"/>
          </w:tcPr>
          <w:p>
            <w:pPr>
              <w:jc w:val="center"/>
              <w:ind w:left="149"/>
              <w:spacing w:after="0"/>
              <w:rPr>
                <w:sz w:val="20"/>
                <w:szCs w:val="20"/>
                <w:color w:val="auto"/>
              </w:rPr>
            </w:pPr>
            <w:r>
              <w:rPr>
                <w:rFonts w:ascii="Arial" w:cs="Arial" w:eastAsia="Arial" w:hAnsi="Arial"/>
                <w:sz w:val="14"/>
                <w:szCs w:val="14"/>
                <w:color w:val="auto"/>
                <w:w w:val="99"/>
              </w:rPr>
              <w:t>40,955,995</w:t>
            </w:r>
          </w:p>
        </w:tc>
        <w:tc>
          <w:tcPr>
            <w:tcW w:w="1740" w:type="dxa"/>
            <w:vAlign w:val="bottom"/>
          </w:tcPr>
          <w:p>
            <w:pPr>
              <w:jc w:val="center"/>
              <w:spacing w:after="0"/>
              <w:rPr>
                <w:sz w:val="20"/>
                <w:szCs w:val="20"/>
                <w:color w:val="auto"/>
              </w:rPr>
            </w:pPr>
            <w:r>
              <w:rPr>
                <w:rFonts w:ascii="Arial" w:cs="Arial" w:eastAsia="Arial" w:hAnsi="Arial"/>
                <w:sz w:val="14"/>
                <w:szCs w:val="14"/>
                <w:color w:val="auto"/>
              </w:rPr>
              <w:t>1,620,889</w:t>
            </w:r>
          </w:p>
        </w:tc>
        <w:tc>
          <w:tcPr>
            <w:tcW w:w="1660" w:type="dxa"/>
            <w:vAlign w:val="bottom"/>
          </w:tcPr>
          <w:p>
            <w:pPr>
              <w:jc w:val="center"/>
              <w:spacing w:after="0"/>
              <w:rPr>
                <w:sz w:val="20"/>
                <w:szCs w:val="20"/>
                <w:color w:val="auto"/>
              </w:rPr>
            </w:pPr>
            <w:r>
              <w:rPr>
                <w:rFonts w:ascii="Arial" w:cs="Arial" w:eastAsia="Arial" w:hAnsi="Arial"/>
                <w:sz w:val="14"/>
                <w:szCs w:val="14"/>
                <w:color w:val="auto"/>
              </w:rPr>
              <w:t>50,632</w:t>
            </w:r>
          </w:p>
        </w:tc>
        <w:tc>
          <w:tcPr>
            <w:tcW w:w="1140" w:type="dxa"/>
            <w:vAlign w:val="bottom"/>
          </w:tcPr>
          <w:p>
            <w:pPr>
              <w:jc w:val="center"/>
              <w:ind w:left="369"/>
              <w:spacing w:after="0"/>
              <w:rPr>
                <w:sz w:val="20"/>
                <w:szCs w:val="20"/>
                <w:color w:val="auto"/>
              </w:rPr>
            </w:pPr>
            <w:r>
              <w:rPr>
                <w:rFonts w:ascii="Arial" w:cs="Arial" w:eastAsia="Arial" w:hAnsi="Arial"/>
                <w:sz w:val="14"/>
                <w:szCs w:val="14"/>
                <w:color w:val="auto"/>
                <w:w w:val="99"/>
              </w:rPr>
              <w:t>4,545,112</w:t>
            </w:r>
          </w:p>
        </w:tc>
        <w:tc>
          <w:tcPr>
            <w:tcW w:w="0" w:type="dxa"/>
            <w:vAlign w:val="bottom"/>
          </w:tcPr>
          <w:p>
            <w:pPr>
              <w:spacing w:after="0"/>
              <w:rPr>
                <w:sz w:val="1"/>
                <w:szCs w:val="1"/>
                <w:color w:val="auto"/>
              </w:rPr>
            </w:pPr>
          </w:p>
        </w:tc>
      </w:tr>
      <w:tr>
        <w:trPr>
          <w:trHeight w:val="180"/>
        </w:trPr>
        <w:tc>
          <w:tcPr>
            <w:tcW w:w="2000" w:type="dxa"/>
            <w:vAlign w:val="bottom"/>
          </w:tcPr>
          <w:p>
            <w:pPr>
              <w:spacing w:after="0"/>
              <w:rPr>
                <w:sz w:val="20"/>
                <w:szCs w:val="20"/>
                <w:color w:val="auto"/>
              </w:rPr>
            </w:pPr>
            <w:r>
              <w:rPr>
                <w:rFonts w:ascii="Arial" w:cs="Arial" w:eastAsia="Arial" w:hAnsi="Arial"/>
                <w:sz w:val="14"/>
                <w:szCs w:val="14"/>
                <w:color w:val="auto"/>
              </w:rPr>
              <w:t>Ronna E. Romney</w:t>
            </w:r>
          </w:p>
        </w:tc>
        <w:tc>
          <w:tcPr>
            <w:tcW w:w="1760" w:type="dxa"/>
            <w:vAlign w:val="bottom"/>
          </w:tcPr>
          <w:p>
            <w:pPr>
              <w:jc w:val="center"/>
              <w:ind w:left="149"/>
              <w:spacing w:after="0"/>
              <w:rPr>
                <w:sz w:val="20"/>
                <w:szCs w:val="20"/>
                <w:color w:val="auto"/>
              </w:rPr>
            </w:pPr>
            <w:r>
              <w:rPr>
                <w:rFonts w:ascii="Arial" w:cs="Arial" w:eastAsia="Arial" w:hAnsi="Arial"/>
                <w:sz w:val="14"/>
                <w:szCs w:val="14"/>
                <w:color w:val="auto"/>
                <w:w w:val="99"/>
              </w:rPr>
              <w:t>38,461,391</w:t>
            </w:r>
          </w:p>
        </w:tc>
        <w:tc>
          <w:tcPr>
            <w:tcW w:w="1740" w:type="dxa"/>
            <w:vAlign w:val="bottom"/>
          </w:tcPr>
          <w:p>
            <w:pPr>
              <w:jc w:val="center"/>
              <w:spacing w:after="0"/>
              <w:rPr>
                <w:sz w:val="20"/>
                <w:szCs w:val="20"/>
                <w:color w:val="auto"/>
              </w:rPr>
            </w:pPr>
            <w:r>
              <w:rPr>
                <w:rFonts w:ascii="Arial" w:cs="Arial" w:eastAsia="Arial" w:hAnsi="Arial"/>
                <w:sz w:val="14"/>
                <w:szCs w:val="14"/>
                <w:color w:val="auto"/>
              </w:rPr>
              <w:t>4,035,124</w:t>
            </w:r>
          </w:p>
        </w:tc>
        <w:tc>
          <w:tcPr>
            <w:tcW w:w="1660" w:type="dxa"/>
            <w:vAlign w:val="bottom"/>
          </w:tcPr>
          <w:p>
            <w:pPr>
              <w:jc w:val="center"/>
              <w:ind w:right="9"/>
              <w:spacing w:after="0"/>
              <w:rPr>
                <w:sz w:val="20"/>
                <w:szCs w:val="20"/>
                <w:color w:val="auto"/>
              </w:rPr>
            </w:pPr>
            <w:r>
              <w:rPr>
                <w:rFonts w:ascii="Arial" w:cs="Arial" w:eastAsia="Arial" w:hAnsi="Arial"/>
                <w:sz w:val="14"/>
                <w:szCs w:val="14"/>
                <w:color w:val="auto"/>
                <w:w w:val="98"/>
              </w:rPr>
              <w:t>131,001</w:t>
            </w:r>
          </w:p>
        </w:tc>
        <w:tc>
          <w:tcPr>
            <w:tcW w:w="1140" w:type="dxa"/>
            <w:vAlign w:val="bottom"/>
          </w:tcPr>
          <w:p>
            <w:pPr>
              <w:jc w:val="center"/>
              <w:ind w:left="369"/>
              <w:spacing w:after="0"/>
              <w:rPr>
                <w:sz w:val="20"/>
                <w:szCs w:val="20"/>
                <w:color w:val="auto"/>
              </w:rPr>
            </w:pPr>
            <w:r>
              <w:rPr>
                <w:rFonts w:ascii="Arial" w:cs="Arial" w:eastAsia="Arial" w:hAnsi="Arial"/>
                <w:sz w:val="14"/>
                <w:szCs w:val="14"/>
                <w:color w:val="auto"/>
                <w:w w:val="99"/>
              </w:rPr>
              <w:t>4,545,112</w:t>
            </w:r>
          </w:p>
        </w:tc>
        <w:tc>
          <w:tcPr>
            <w:tcW w:w="0" w:type="dxa"/>
            <w:vAlign w:val="bottom"/>
          </w:tcPr>
          <w:p>
            <w:pPr>
              <w:spacing w:after="0"/>
              <w:rPr>
                <w:sz w:val="1"/>
                <w:szCs w:val="1"/>
                <w:color w:val="auto"/>
              </w:rPr>
            </w:pPr>
          </w:p>
        </w:tc>
      </w:tr>
      <w:tr>
        <w:trPr>
          <w:trHeight w:val="180"/>
        </w:trPr>
        <w:tc>
          <w:tcPr>
            <w:tcW w:w="2000" w:type="dxa"/>
            <w:vAlign w:val="bottom"/>
          </w:tcPr>
          <w:p>
            <w:pPr>
              <w:spacing w:after="0"/>
              <w:rPr>
                <w:sz w:val="20"/>
                <w:szCs w:val="20"/>
                <w:color w:val="auto"/>
              </w:rPr>
            </w:pPr>
            <w:r>
              <w:rPr>
                <w:rFonts w:ascii="Arial" w:cs="Arial" w:eastAsia="Arial" w:hAnsi="Arial"/>
                <w:sz w:val="14"/>
                <w:szCs w:val="14"/>
                <w:color w:val="auto"/>
              </w:rPr>
              <w:t>Richard M. Schapiro</w:t>
            </w:r>
          </w:p>
        </w:tc>
        <w:tc>
          <w:tcPr>
            <w:tcW w:w="1760" w:type="dxa"/>
            <w:vAlign w:val="bottom"/>
          </w:tcPr>
          <w:p>
            <w:pPr>
              <w:jc w:val="center"/>
              <w:ind w:left="149"/>
              <w:spacing w:after="0"/>
              <w:rPr>
                <w:sz w:val="20"/>
                <w:szCs w:val="20"/>
                <w:color w:val="auto"/>
              </w:rPr>
            </w:pPr>
            <w:r>
              <w:rPr>
                <w:rFonts w:ascii="Arial" w:cs="Arial" w:eastAsia="Arial" w:hAnsi="Arial"/>
                <w:sz w:val="14"/>
                <w:szCs w:val="14"/>
                <w:color w:val="auto"/>
                <w:w w:val="99"/>
              </w:rPr>
              <w:t>42,174,723</w:t>
            </w:r>
          </w:p>
        </w:tc>
        <w:tc>
          <w:tcPr>
            <w:tcW w:w="1740" w:type="dxa"/>
            <w:vAlign w:val="bottom"/>
          </w:tcPr>
          <w:p>
            <w:pPr>
              <w:jc w:val="center"/>
              <w:spacing w:after="0"/>
              <w:rPr>
                <w:sz w:val="20"/>
                <w:szCs w:val="20"/>
                <w:color w:val="auto"/>
              </w:rPr>
            </w:pPr>
            <w:r>
              <w:rPr>
                <w:rFonts w:ascii="Arial" w:cs="Arial" w:eastAsia="Arial" w:hAnsi="Arial"/>
                <w:sz w:val="14"/>
                <w:szCs w:val="14"/>
                <w:color w:val="auto"/>
              </w:rPr>
              <w:t>403,527</w:t>
            </w:r>
          </w:p>
        </w:tc>
        <w:tc>
          <w:tcPr>
            <w:tcW w:w="1660" w:type="dxa"/>
            <w:vAlign w:val="bottom"/>
          </w:tcPr>
          <w:p>
            <w:pPr>
              <w:jc w:val="center"/>
              <w:spacing w:after="0"/>
              <w:rPr>
                <w:sz w:val="20"/>
                <w:szCs w:val="20"/>
                <w:color w:val="auto"/>
              </w:rPr>
            </w:pPr>
            <w:r>
              <w:rPr>
                <w:rFonts w:ascii="Arial" w:cs="Arial" w:eastAsia="Arial" w:hAnsi="Arial"/>
                <w:sz w:val="14"/>
                <w:szCs w:val="14"/>
                <w:color w:val="auto"/>
              </w:rPr>
              <w:t>49,266</w:t>
            </w:r>
          </w:p>
        </w:tc>
        <w:tc>
          <w:tcPr>
            <w:tcW w:w="1140" w:type="dxa"/>
            <w:vAlign w:val="bottom"/>
          </w:tcPr>
          <w:p>
            <w:pPr>
              <w:jc w:val="center"/>
              <w:ind w:left="369"/>
              <w:spacing w:after="0"/>
              <w:rPr>
                <w:sz w:val="20"/>
                <w:szCs w:val="20"/>
                <w:color w:val="auto"/>
              </w:rPr>
            </w:pPr>
            <w:r>
              <w:rPr>
                <w:rFonts w:ascii="Arial" w:cs="Arial" w:eastAsia="Arial" w:hAnsi="Arial"/>
                <w:sz w:val="14"/>
                <w:szCs w:val="14"/>
                <w:color w:val="auto"/>
                <w:w w:val="99"/>
              </w:rPr>
              <w:t>4,545,112</w:t>
            </w:r>
          </w:p>
        </w:tc>
        <w:tc>
          <w:tcPr>
            <w:tcW w:w="0" w:type="dxa"/>
            <w:vAlign w:val="bottom"/>
          </w:tcPr>
          <w:p>
            <w:pPr>
              <w:spacing w:after="0"/>
              <w:rPr>
                <w:sz w:val="1"/>
                <w:szCs w:val="1"/>
                <w:color w:val="auto"/>
              </w:rPr>
            </w:pPr>
          </w:p>
        </w:tc>
      </w:tr>
      <w:tr>
        <w:trPr>
          <w:trHeight w:val="180"/>
        </w:trPr>
        <w:tc>
          <w:tcPr>
            <w:tcW w:w="2000" w:type="dxa"/>
            <w:vAlign w:val="bottom"/>
          </w:tcPr>
          <w:p>
            <w:pPr>
              <w:spacing w:after="0"/>
              <w:rPr>
                <w:sz w:val="20"/>
                <w:szCs w:val="20"/>
                <w:color w:val="auto"/>
              </w:rPr>
            </w:pPr>
            <w:r>
              <w:rPr>
                <w:rFonts w:ascii="Arial" w:cs="Arial" w:eastAsia="Arial" w:hAnsi="Arial"/>
                <w:sz w:val="14"/>
                <w:szCs w:val="14"/>
                <w:color w:val="auto"/>
              </w:rPr>
              <w:t>Francis S. Soistman</w:t>
            </w:r>
          </w:p>
        </w:tc>
        <w:tc>
          <w:tcPr>
            <w:tcW w:w="1760" w:type="dxa"/>
            <w:vAlign w:val="bottom"/>
          </w:tcPr>
          <w:p>
            <w:pPr>
              <w:jc w:val="center"/>
              <w:ind w:left="149"/>
              <w:spacing w:after="0"/>
              <w:rPr>
                <w:sz w:val="20"/>
                <w:szCs w:val="20"/>
                <w:color w:val="auto"/>
              </w:rPr>
            </w:pPr>
            <w:r>
              <w:rPr>
                <w:rFonts w:ascii="Arial" w:cs="Arial" w:eastAsia="Arial" w:hAnsi="Arial"/>
                <w:sz w:val="14"/>
                <w:szCs w:val="14"/>
                <w:color w:val="auto"/>
                <w:w w:val="99"/>
              </w:rPr>
              <w:t>42,371,936</w:t>
            </w:r>
          </w:p>
        </w:tc>
        <w:tc>
          <w:tcPr>
            <w:tcW w:w="1740" w:type="dxa"/>
            <w:vAlign w:val="bottom"/>
          </w:tcPr>
          <w:p>
            <w:pPr>
              <w:jc w:val="center"/>
              <w:spacing w:after="0"/>
              <w:rPr>
                <w:sz w:val="20"/>
                <w:szCs w:val="20"/>
                <w:color w:val="auto"/>
              </w:rPr>
            </w:pPr>
            <w:r>
              <w:rPr>
                <w:rFonts w:ascii="Arial" w:cs="Arial" w:eastAsia="Arial" w:hAnsi="Arial"/>
                <w:sz w:val="14"/>
                <w:szCs w:val="14"/>
                <w:color w:val="auto"/>
              </w:rPr>
              <w:t>199,759</w:t>
            </w:r>
          </w:p>
        </w:tc>
        <w:tc>
          <w:tcPr>
            <w:tcW w:w="1660" w:type="dxa"/>
            <w:vAlign w:val="bottom"/>
          </w:tcPr>
          <w:p>
            <w:pPr>
              <w:jc w:val="center"/>
              <w:spacing w:after="0"/>
              <w:rPr>
                <w:sz w:val="20"/>
                <w:szCs w:val="20"/>
                <w:color w:val="auto"/>
              </w:rPr>
            </w:pPr>
            <w:r>
              <w:rPr>
                <w:rFonts w:ascii="Arial" w:cs="Arial" w:eastAsia="Arial" w:hAnsi="Arial"/>
                <w:sz w:val="14"/>
                <w:szCs w:val="14"/>
                <w:color w:val="auto"/>
              </w:rPr>
              <w:t>55,821</w:t>
            </w:r>
          </w:p>
        </w:tc>
        <w:tc>
          <w:tcPr>
            <w:tcW w:w="1140" w:type="dxa"/>
            <w:vAlign w:val="bottom"/>
          </w:tcPr>
          <w:p>
            <w:pPr>
              <w:jc w:val="center"/>
              <w:ind w:left="369"/>
              <w:spacing w:after="0"/>
              <w:rPr>
                <w:sz w:val="20"/>
                <w:szCs w:val="20"/>
                <w:color w:val="auto"/>
              </w:rPr>
            </w:pPr>
            <w:r>
              <w:rPr>
                <w:rFonts w:ascii="Arial" w:cs="Arial" w:eastAsia="Arial" w:hAnsi="Arial"/>
                <w:sz w:val="14"/>
                <w:szCs w:val="14"/>
                <w:color w:val="auto"/>
                <w:w w:val="99"/>
              </w:rPr>
              <w:t>4,545,112</w:t>
            </w:r>
          </w:p>
        </w:tc>
        <w:tc>
          <w:tcPr>
            <w:tcW w:w="0" w:type="dxa"/>
            <w:vAlign w:val="bottom"/>
          </w:tcPr>
          <w:p>
            <w:pPr>
              <w:spacing w:after="0"/>
              <w:rPr>
                <w:sz w:val="1"/>
                <w:szCs w:val="1"/>
                <w:color w:val="auto"/>
              </w:rPr>
            </w:pPr>
          </w:p>
        </w:tc>
      </w:tr>
      <w:tr>
        <w:trPr>
          <w:trHeight w:val="180"/>
        </w:trPr>
        <w:tc>
          <w:tcPr>
            <w:tcW w:w="2000" w:type="dxa"/>
            <w:vAlign w:val="bottom"/>
          </w:tcPr>
          <w:p>
            <w:pPr>
              <w:spacing w:after="0"/>
              <w:rPr>
                <w:sz w:val="20"/>
                <w:szCs w:val="20"/>
                <w:color w:val="auto"/>
              </w:rPr>
            </w:pPr>
            <w:r>
              <w:rPr>
                <w:rFonts w:ascii="Arial" w:cs="Arial" w:eastAsia="Arial" w:hAnsi="Arial"/>
                <w:sz w:val="14"/>
                <w:szCs w:val="14"/>
                <w:color w:val="auto"/>
              </w:rPr>
              <w:t>Dale B. Wolf</w:t>
            </w:r>
          </w:p>
        </w:tc>
        <w:tc>
          <w:tcPr>
            <w:tcW w:w="1760" w:type="dxa"/>
            <w:vAlign w:val="bottom"/>
          </w:tcPr>
          <w:p>
            <w:pPr>
              <w:jc w:val="center"/>
              <w:ind w:left="149"/>
              <w:spacing w:after="0"/>
              <w:rPr>
                <w:sz w:val="20"/>
                <w:szCs w:val="20"/>
                <w:color w:val="auto"/>
              </w:rPr>
            </w:pPr>
            <w:r>
              <w:rPr>
                <w:rFonts w:ascii="Arial" w:cs="Arial" w:eastAsia="Arial" w:hAnsi="Arial"/>
                <w:sz w:val="14"/>
                <w:szCs w:val="14"/>
                <w:color w:val="auto"/>
                <w:w w:val="99"/>
              </w:rPr>
              <w:t>39,097,714</w:t>
            </w:r>
          </w:p>
        </w:tc>
        <w:tc>
          <w:tcPr>
            <w:tcW w:w="1740" w:type="dxa"/>
            <w:vAlign w:val="bottom"/>
          </w:tcPr>
          <w:p>
            <w:pPr>
              <w:jc w:val="center"/>
              <w:spacing w:after="0"/>
              <w:rPr>
                <w:sz w:val="20"/>
                <w:szCs w:val="20"/>
                <w:color w:val="auto"/>
              </w:rPr>
            </w:pPr>
            <w:r>
              <w:rPr>
                <w:rFonts w:ascii="Arial" w:cs="Arial" w:eastAsia="Arial" w:hAnsi="Arial"/>
                <w:sz w:val="14"/>
                <w:szCs w:val="14"/>
                <w:color w:val="auto"/>
              </w:rPr>
              <w:t>3,479,902</w:t>
            </w:r>
          </w:p>
        </w:tc>
        <w:tc>
          <w:tcPr>
            <w:tcW w:w="1660" w:type="dxa"/>
            <w:vAlign w:val="bottom"/>
          </w:tcPr>
          <w:p>
            <w:pPr>
              <w:jc w:val="center"/>
              <w:spacing w:after="0"/>
              <w:rPr>
                <w:sz w:val="20"/>
                <w:szCs w:val="20"/>
                <w:color w:val="auto"/>
              </w:rPr>
            </w:pPr>
            <w:r>
              <w:rPr>
                <w:rFonts w:ascii="Arial" w:cs="Arial" w:eastAsia="Arial" w:hAnsi="Arial"/>
                <w:sz w:val="14"/>
                <w:szCs w:val="14"/>
                <w:color w:val="auto"/>
              </w:rPr>
              <w:t>49,900</w:t>
            </w:r>
          </w:p>
        </w:tc>
        <w:tc>
          <w:tcPr>
            <w:tcW w:w="1140" w:type="dxa"/>
            <w:vAlign w:val="bottom"/>
          </w:tcPr>
          <w:p>
            <w:pPr>
              <w:jc w:val="center"/>
              <w:ind w:left="369"/>
              <w:spacing w:after="0"/>
              <w:rPr>
                <w:sz w:val="20"/>
                <w:szCs w:val="20"/>
                <w:color w:val="auto"/>
              </w:rPr>
            </w:pPr>
            <w:r>
              <w:rPr>
                <w:rFonts w:ascii="Arial" w:cs="Arial" w:eastAsia="Arial" w:hAnsi="Arial"/>
                <w:sz w:val="14"/>
                <w:szCs w:val="14"/>
                <w:color w:val="auto"/>
                <w:w w:val="99"/>
              </w:rPr>
              <w:t>4,545,112</w:t>
            </w:r>
          </w:p>
        </w:tc>
        <w:tc>
          <w:tcPr>
            <w:tcW w:w="0" w:type="dxa"/>
            <w:vAlign w:val="bottom"/>
          </w:tcPr>
          <w:p>
            <w:pPr>
              <w:spacing w:after="0"/>
              <w:rPr>
                <w:sz w:val="1"/>
                <w:szCs w:val="1"/>
                <w:color w:val="auto"/>
              </w:rPr>
            </w:pPr>
          </w:p>
        </w:tc>
      </w:tr>
      <w:tr>
        <w:trPr>
          <w:trHeight w:val="180"/>
        </w:trPr>
        <w:tc>
          <w:tcPr>
            <w:tcW w:w="2000" w:type="dxa"/>
            <w:vAlign w:val="bottom"/>
          </w:tcPr>
          <w:p>
            <w:pPr>
              <w:spacing w:after="0"/>
              <w:rPr>
                <w:sz w:val="20"/>
                <w:szCs w:val="20"/>
                <w:color w:val="auto"/>
              </w:rPr>
            </w:pPr>
            <w:r>
              <w:rPr>
                <w:rFonts w:ascii="Arial" w:cs="Arial" w:eastAsia="Arial" w:hAnsi="Arial"/>
                <w:sz w:val="14"/>
                <w:szCs w:val="14"/>
                <w:color w:val="auto"/>
              </w:rPr>
              <w:t>Richard C. Zoretic</w:t>
            </w:r>
          </w:p>
        </w:tc>
        <w:tc>
          <w:tcPr>
            <w:tcW w:w="1760" w:type="dxa"/>
            <w:vAlign w:val="bottom"/>
          </w:tcPr>
          <w:p>
            <w:pPr>
              <w:jc w:val="center"/>
              <w:ind w:left="149"/>
              <w:spacing w:after="0"/>
              <w:rPr>
                <w:sz w:val="20"/>
                <w:szCs w:val="20"/>
                <w:color w:val="auto"/>
              </w:rPr>
            </w:pPr>
            <w:r>
              <w:rPr>
                <w:rFonts w:ascii="Arial" w:cs="Arial" w:eastAsia="Arial" w:hAnsi="Arial"/>
                <w:sz w:val="14"/>
                <w:szCs w:val="14"/>
                <w:color w:val="auto"/>
                <w:w w:val="99"/>
              </w:rPr>
              <w:t>42,369,441</w:t>
            </w:r>
          </w:p>
        </w:tc>
        <w:tc>
          <w:tcPr>
            <w:tcW w:w="1740" w:type="dxa"/>
            <w:vAlign w:val="bottom"/>
          </w:tcPr>
          <w:p>
            <w:pPr>
              <w:jc w:val="center"/>
              <w:spacing w:after="0"/>
              <w:rPr>
                <w:sz w:val="20"/>
                <w:szCs w:val="20"/>
                <w:color w:val="auto"/>
              </w:rPr>
            </w:pPr>
            <w:r>
              <w:rPr>
                <w:rFonts w:ascii="Arial" w:cs="Arial" w:eastAsia="Arial" w:hAnsi="Arial"/>
                <w:sz w:val="14"/>
                <w:szCs w:val="14"/>
                <w:color w:val="auto"/>
              </w:rPr>
              <w:t>210,513</w:t>
            </w:r>
          </w:p>
        </w:tc>
        <w:tc>
          <w:tcPr>
            <w:tcW w:w="1660" w:type="dxa"/>
            <w:vAlign w:val="bottom"/>
          </w:tcPr>
          <w:p>
            <w:pPr>
              <w:jc w:val="center"/>
              <w:spacing w:after="0"/>
              <w:rPr>
                <w:sz w:val="20"/>
                <w:szCs w:val="20"/>
                <w:color w:val="auto"/>
              </w:rPr>
            </w:pPr>
            <w:r>
              <w:rPr>
                <w:rFonts w:ascii="Arial" w:cs="Arial" w:eastAsia="Arial" w:hAnsi="Arial"/>
                <w:sz w:val="14"/>
                <w:szCs w:val="14"/>
                <w:color w:val="auto"/>
              </w:rPr>
              <w:t>47,562</w:t>
            </w:r>
          </w:p>
        </w:tc>
        <w:tc>
          <w:tcPr>
            <w:tcW w:w="1140" w:type="dxa"/>
            <w:vAlign w:val="bottom"/>
          </w:tcPr>
          <w:p>
            <w:pPr>
              <w:jc w:val="center"/>
              <w:ind w:left="369"/>
              <w:spacing w:after="0"/>
              <w:rPr>
                <w:sz w:val="20"/>
                <w:szCs w:val="20"/>
                <w:color w:val="auto"/>
              </w:rPr>
            </w:pPr>
            <w:r>
              <w:rPr>
                <w:rFonts w:ascii="Arial" w:cs="Arial" w:eastAsia="Arial" w:hAnsi="Arial"/>
                <w:sz w:val="14"/>
                <w:szCs w:val="14"/>
                <w:color w:val="auto"/>
                <w:w w:val="99"/>
              </w:rPr>
              <w:t>4,545,112</w:t>
            </w:r>
          </w:p>
        </w:tc>
        <w:tc>
          <w:tcPr>
            <w:tcW w:w="0" w:type="dxa"/>
            <w:vAlign w:val="bottom"/>
          </w:tcPr>
          <w:p>
            <w:pPr>
              <w:spacing w:after="0"/>
              <w:rPr>
                <w:sz w:val="1"/>
                <w:szCs w:val="1"/>
                <w:color w:val="auto"/>
              </w:rPr>
            </w:pPr>
          </w:p>
        </w:tc>
      </w:tr>
      <w:tr>
        <w:trPr>
          <w:trHeight w:val="186"/>
        </w:trPr>
        <w:tc>
          <w:tcPr>
            <w:tcW w:w="2000" w:type="dxa"/>
            <w:vAlign w:val="bottom"/>
          </w:tcPr>
          <w:p>
            <w:pPr>
              <w:spacing w:after="0"/>
              <w:rPr>
                <w:sz w:val="20"/>
                <w:szCs w:val="20"/>
                <w:color w:val="auto"/>
              </w:rPr>
            </w:pPr>
            <w:r>
              <w:rPr>
                <w:rFonts w:ascii="Arial" w:cs="Arial" w:eastAsia="Arial" w:hAnsi="Arial"/>
                <w:sz w:val="14"/>
                <w:szCs w:val="14"/>
                <w:color w:val="auto"/>
              </w:rPr>
              <w:t>Joseph M. Zubretsky</w:t>
            </w:r>
          </w:p>
        </w:tc>
        <w:tc>
          <w:tcPr>
            <w:tcW w:w="1760" w:type="dxa"/>
            <w:vAlign w:val="bottom"/>
          </w:tcPr>
          <w:p>
            <w:pPr>
              <w:jc w:val="center"/>
              <w:ind w:left="149"/>
              <w:spacing w:after="0"/>
              <w:rPr>
                <w:sz w:val="20"/>
                <w:szCs w:val="20"/>
                <w:color w:val="auto"/>
              </w:rPr>
            </w:pPr>
            <w:r>
              <w:rPr>
                <w:rFonts w:ascii="Arial" w:cs="Arial" w:eastAsia="Arial" w:hAnsi="Arial"/>
                <w:sz w:val="14"/>
                <w:szCs w:val="14"/>
                <w:color w:val="auto"/>
                <w:w w:val="99"/>
              </w:rPr>
              <w:t>42,327,641</w:t>
            </w:r>
          </w:p>
        </w:tc>
        <w:tc>
          <w:tcPr>
            <w:tcW w:w="1740" w:type="dxa"/>
            <w:vAlign w:val="bottom"/>
          </w:tcPr>
          <w:p>
            <w:pPr>
              <w:jc w:val="center"/>
              <w:spacing w:after="0"/>
              <w:rPr>
                <w:sz w:val="20"/>
                <w:szCs w:val="20"/>
                <w:color w:val="auto"/>
              </w:rPr>
            </w:pPr>
            <w:r>
              <w:rPr>
                <w:rFonts w:ascii="Arial" w:cs="Arial" w:eastAsia="Arial" w:hAnsi="Arial"/>
                <w:sz w:val="14"/>
                <w:szCs w:val="14"/>
                <w:color w:val="auto"/>
              </w:rPr>
              <w:t>277,647</w:t>
            </w:r>
          </w:p>
        </w:tc>
        <w:tc>
          <w:tcPr>
            <w:tcW w:w="1660" w:type="dxa"/>
            <w:vAlign w:val="bottom"/>
          </w:tcPr>
          <w:p>
            <w:pPr>
              <w:jc w:val="center"/>
              <w:spacing w:after="0"/>
              <w:rPr>
                <w:sz w:val="20"/>
                <w:szCs w:val="20"/>
                <w:color w:val="auto"/>
              </w:rPr>
            </w:pPr>
            <w:r>
              <w:rPr>
                <w:rFonts w:ascii="Arial" w:cs="Arial" w:eastAsia="Arial" w:hAnsi="Arial"/>
                <w:sz w:val="14"/>
                <w:szCs w:val="14"/>
                <w:color w:val="auto"/>
              </w:rPr>
              <w:t>22,228</w:t>
            </w:r>
          </w:p>
        </w:tc>
        <w:tc>
          <w:tcPr>
            <w:tcW w:w="1140" w:type="dxa"/>
            <w:vAlign w:val="bottom"/>
          </w:tcPr>
          <w:p>
            <w:pPr>
              <w:jc w:val="center"/>
              <w:ind w:left="369"/>
              <w:spacing w:after="0"/>
              <w:rPr>
                <w:sz w:val="20"/>
                <w:szCs w:val="20"/>
                <w:color w:val="auto"/>
              </w:rPr>
            </w:pPr>
            <w:r>
              <w:rPr>
                <w:rFonts w:ascii="Arial" w:cs="Arial" w:eastAsia="Arial" w:hAnsi="Arial"/>
                <w:sz w:val="14"/>
                <w:szCs w:val="14"/>
                <w:color w:val="auto"/>
                <w:w w:val="99"/>
              </w:rPr>
              <w:t>4,545,112</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480"/>
        <w:spacing w:after="0" w:line="290" w:lineRule="auto"/>
        <w:rPr>
          <w:sz w:val="20"/>
          <w:szCs w:val="20"/>
          <w:color w:val="auto"/>
        </w:rPr>
      </w:pPr>
      <w:r>
        <w:rPr>
          <w:rFonts w:ascii="Arial" w:cs="Arial" w:eastAsia="Arial" w:hAnsi="Arial"/>
          <w:sz w:val="14"/>
          <w:szCs w:val="14"/>
          <w:color w:val="auto"/>
        </w:rPr>
        <w:t>With regard to Proposal No. 2, for the approval, on a non-binding, advisory basis, of the compensation of the Company’s named executive officers, the stockholders voted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380" w:type="dxa"/>
            <w:vAlign w:val="bottom"/>
          </w:tcPr>
          <w:p>
            <w:pPr>
              <w:jc w:val="center"/>
              <w:ind w:left="1249"/>
              <w:spacing w:after="0"/>
              <w:rPr>
                <w:sz w:val="20"/>
                <w:szCs w:val="20"/>
                <w:color w:val="auto"/>
              </w:rPr>
            </w:pPr>
            <w:r>
              <w:rPr>
                <w:rFonts w:ascii="Arial" w:cs="Arial" w:eastAsia="Arial" w:hAnsi="Arial"/>
                <w:sz w:val="14"/>
                <w:szCs w:val="14"/>
                <w:b w:val="1"/>
                <w:bCs w:val="1"/>
                <w:color w:val="auto"/>
              </w:rPr>
              <w:t>Votes For</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rPr>
              <w:t>Votes Against</w:t>
            </w: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rPr>
              <w:t>Abstentions</w:t>
            </w:r>
          </w:p>
        </w:tc>
        <w:tc>
          <w:tcPr>
            <w:tcW w:w="3540" w:type="dxa"/>
            <w:vAlign w:val="bottom"/>
          </w:tcPr>
          <w:p>
            <w:pPr>
              <w:jc w:val="center"/>
              <w:ind w:right="1089"/>
              <w:spacing w:after="0"/>
              <w:rPr>
                <w:sz w:val="20"/>
                <w:szCs w:val="20"/>
                <w:color w:val="auto"/>
              </w:rPr>
            </w:pPr>
            <w:r>
              <w:rPr>
                <w:rFonts w:ascii="Arial" w:cs="Arial" w:eastAsia="Arial" w:hAnsi="Arial"/>
                <w:sz w:val="14"/>
                <w:szCs w:val="14"/>
                <w:b w:val="1"/>
                <w:bCs w:val="1"/>
                <w:color w:val="auto"/>
                <w:w w:val="99"/>
              </w:rPr>
              <w:t>Broker Non-Votes</w:t>
            </w:r>
          </w:p>
        </w:tc>
      </w:tr>
      <w:tr>
        <w:trPr>
          <w:trHeight w:val="186"/>
        </w:trPr>
        <w:tc>
          <w:tcPr>
            <w:tcW w:w="3380" w:type="dxa"/>
            <w:vAlign w:val="bottom"/>
          </w:tcPr>
          <w:p>
            <w:pPr>
              <w:jc w:val="right"/>
              <w:ind w:right="609"/>
              <w:spacing w:after="0"/>
              <w:rPr>
                <w:sz w:val="20"/>
                <w:szCs w:val="20"/>
                <w:color w:val="auto"/>
              </w:rPr>
            </w:pPr>
            <w:r>
              <w:rPr>
                <w:rFonts w:ascii="Arial" w:cs="Arial" w:eastAsia="Arial" w:hAnsi="Arial"/>
                <w:sz w:val="14"/>
                <w:szCs w:val="14"/>
                <w:color w:val="auto"/>
              </w:rPr>
              <w:t>22,459,321</w:t>
            </w:r>
          </w:p>
        </w:tc>
        <w:tc>
          <w:tcPr>
            <w:tcW w:w="2280" w:type="dxa"/>
            <w:vAlign w:val="bottom"/>
          </w:tcPr>
          <w:p>
            <w:pPr>
              <w:jc w:val="right"/>
              <w:ind w:right="709"/>
              <w:spacing w:after="0"/>
              <w:rPr>
                <w:sz w:val="20"/>
                <w:szCs w:val="20"/>
                <w:color w:val="auto"/>
              </w:rPr>
            </w:pPr>
            <w:r>
              <w:rPr>
                <w:rFonts w:ascii="Arial" w:cs="Arial" w:eastAsia="Arial" w:hAnsi="Arial"/>
                <w:sz w:val="14"/>
                <w:szCs w:val="14"/>
                <w:color w:val="auto"/>
              </w:rPr>
              <w:t>20,116,888</w:t>
            </w:r>
          </w:p>
        </w:tc>
        <w:tc>
          <w:tcPr>
            <w:tcW w:w="2080" w:type="dxa"/>
            <w:vAlign w:val="bottom"/>
          </w:tcPr>
          <w:p>
            <w:pPr>
              <w:jc w:val="right"/>
              <w:ind w:right="729"/>
              <w:spacing w:after="0"/>
              <w:rPr>
                <w:sz w:val="20"/>
                <w:szCs w:val="20"/>
                <w:color w:val="auto"/>
              </w:rPr>
            </w:pPr>
            <w:r>
              <w:rPr>
                <w:rFonts w:ascii="Arial" w:cs="Arial" w:eastAsia="Arial" w:hAnsi="Arial"/>
                <w:sz w:val="14"/>
                <w:szCs w:val="14"/>
                <w:color w:val="auto"/>
              </w:rPr>
              <w:t>51,307</w:t>
            </w:r>
          </w:p>
        </w:tc>
        <w:tc>
          <w:tcPr>
            <w:tcW w:w="3540" w:type="dxa"/>
            <w:vAlign w:val="bottom"/>
          </w:tcPr>
          <w:p>
            <w:pPr>
              <w:jc w:val="right"/>
              <w:ind w:right="1969"/>
              <w:spacing w:after="0"/>
              <w:rPr>
                <w:sz w:val="20"/>
                <w:szCs w:val="20"/>
                <w:color w:val="auto"/>
              </w:rPr>
            </w:pPr>
            <w:r>
              <w:rPr>
                <w:rFonts w:ascii="Arial" w:cs="Arial" w:eastAsia="Arial" w:hAnsi="Arial"/>
                <w:sz w:val="14"/>
                <w:szCs w:val="14"/>
                <w:color w:val="auto"/>
              </w:rPr>
              <w:t>4,545,112</w:t>
            </w:r>
          </w:p>
        </w:tc>
      </w:tr>
      <w:tr>
        <w:trPr>
          <w:trHeight w:val="933"/>
        </w:trPr>
        <w:tc>
          <w:tcPr>
            <w:tcW w:w="338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3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21" w:right="319" w:bottom="1440" w:gutter="0" w:footer="0" w:header="0"/>
        </w:sectPr>
      </w:pPr>
    </w:p>
    <w:bookmarkStart w:id="3" w:name="page4"/>
    <w:bookmarkEnd w:id="3"/>
    <w:p>
      <w:pPr>
        <w:ind w:right="760"/>
        <w:spacing w:after="0" w:line="290" w:lineRule="auto"/>
        <w:rPr>
          <w:sz w:val="20"/>
          <w:szCs w:val="20"/>
          <w:color w:val="auto"/>
        </w:rPr>
      </w:pPr>
      <w:r>
        <w:rPr>
          <w:rFonts w:ascii="Arial" w:cs="Arial" w:eastAsia="Arial" w:hAnsi="Arial"/>
          <w:sz w:val="14"/>
          <w:szCs w:val="14"/>
          <w:color w:val="auto"/>
        </w:rPr>
        <w:t>With regard to Proposal No. 3, for the ratification of the appointment of Ernst &amp; Young LLP as the Company’s independent registered public accounting firm for 2026, the stockholders voted as follows:</w:t>
      </w:r>
    </w:p>
    <w:p>
      <w:pPr>
        <w:sectPr>
          <w:pgSz w:w="11900" w:h="16838" w:orient="portrait"/>
          <w:cols w:equalWidth="0" w:num="1">
            <w:col w:w="11280"/>
          </w:cols>
          <w:pgMar w:left="300" w:top="730" w:right="319" w:bottom="1440" w:gutter="0" w:footer="0" w:header="0"/>
        </w:sectPr>
      </w:pPr>
    </w:p>
    <w:p>
      <w:pPr>
        <w:spacing w:after="0" w:line="67" w:lineRule="exact"/>
        <w:rPr>
          <w:sz w:val="20"/>
          <w:szCs w:val="20"/>
          <w:color w:val="auto"/>
        </w:rPr>
      </w:pPr>
    </w:p>
    <w:p>
      <w:pPr>
        <w:ind w:left="2020"/>
        <w:spacing w:after="0"/>
        <w:rPr>
          <w:sz w:val="20"/>
          <w:szCs w:val="20"/>
          <w:color w:val="auto"/>
        </w:rPr>
      </w:pPr>
      <w:r>
        <w:rPr>
          <w:rFonts w:ascii="Arial" w:cs="Arial" w:eastAsia="Arial" w:hAnsi="Arial"/>
          <w:sz w:val="14"/>
          <w:szCs w:val="14"/>
          <w:b w:val="1"/>
          <w:bCs w:val="1"/>
          <w:color w:val="auto"/>
        </w:rPr>
        <w:t>Votes For</w:t>
      </w:r>
    </w:p>
    <w:p>
      <w:pPr>
        <w:spacing w:after="0" w:line="33" w:lineRule="exact"/>
        <w:rPr>
          <w:sz w:val="20"/>
          <w:szCs w:val="20"/>
          <w:color w:val="auto"/>
        </w:rPr>
      </w:pPr>
    </w:p>
    <w:p>
      <w:pPr>
        <w:ind w:left="2000"/>
        <w:spacing w:after="0"/>
        <w:rPr>
          <w:sz w:val="20"/>
          <w:szCs w:val="20"/>
          <w:color w:val="auto"/>
        </w:rPr>
      </w:pPr>
      <w:r>
        <w:rPr>
          <w:rFonts w:ascii="Arial" w:cs="Arial" w:eastAsia="Arial" w:hAnsi="Arial"/>
          <w:sz w:val="13"/>
          <w:szCs w:val="13"/>
          <w:color w:val="auto"/>
        </w:rPr>
        <w:t>45,850,249</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jc w:val="center"/>
        <w:ind w:right="600"/>
        <w:spacing w:after="0"/>
        <w:rPr>
          <w:sz w:val="20"/>
          <w:szCs w:val="20"/>
          <w:color w:val="auto"/>
        </w:rPr>
      </w:pPr>
      <w:r>
        <w:rPr>
          <w:rFonts w:ascii="Arial" w:cs="Arial" w:eastAsia="Arial" w:hAnsi="Arial"/>
          <w:sz w:val="14"/>
          <w:szCs w:val="14"/>
          <w:b w:val="1"/>
          <w:bCs w:val="1"/>
          <w:color w:val="auto"/>
        </w:rPr>
        <w:t>Votes Against</w:t>
      </w:r>
    </w:p>
    <w:p>
      <w:pPr>
        <w:spacing w:after="0" w:line="33" w:lineRule="exact"/>
        <w:rPr>
          <w:sz w:val="20"/>
          <w:szCs w:val="20"/>
          <w:color w:val="auto"/>
        </w:rPr>
      </w:pPr>
    </w:p>
    <w:p>
      <w:pPr>
        <w:jc w:val="center"/>
        <w:ind w:right="600"/>
        <w:spacing w:after="0"/>
        <w:rPr>
          <w:sz w:val="20"/>
          <w:szCs w:val="20"/>
          <w:color w:val="auto"/>
        </w:rPr>
      </w:pPr>
      <w:r>
        <w:rPr>
          <w:rFonts w:ascii="Arial" w:cs="Arial" w:eastAsia="Arial" w:hAnsi="Arial"/>
          <w:sz w:val="14"/>
          <w:szCs w:val="14"/>
          <w:color w:val="auto"/>
        </w:rPr>
        <w:t>1,293,650</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jc w:val="center"/>
        <w:ind w:right="480"/>
        <w:spacing w:after="0"/>
        <w:rPr>
          <w:sz w:val="20"/>
          <w:szCs w:val="20"/>
          <w:color w:val="auto"/>
        </w:rPr>
      </w:pPr>
      <w:r>
        <w:rPr>
          <w:rFonts w:ascii="Arial" w:cs="Arial" w:eastAsia="Arial" w:hAnsi="Arial"/>
          <w:sz w:val="14"/>
          <w:szCs w:val="14"/>
          <w:b w:val="1"/>
          <w:bCs w:val="1"/>
          <w:color w:val="auto"/>
        </w:rPr>
        <w:t>Abstentions</w:t>
      </w:r>
    </w:p>
    <w:p>
      <w:pPr>
        <w:spacing w:after="0" w:line="33"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28,729</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jc w:val="center"/>
        <w:ind w:right="1760"/>
        <w:spacing w:after="0"/>
        <w:rPr>
          <w:sz w:val="20"/>
          <w:szCs w:val="20"/>
          <w:color w:val="auto"/>
        </w:rPr>
      </w:pPr>
      <w:r>
        <w:rPr>
          <w:rFonts w:ascii="Arial" w:cs="Arial" w:eastAsia="Arial" w:hAnsi="Arial"/>
          <w:sz w:val="13"/>
          <w:szCs w:val="13"/>
          <w:b w:val="1"/>
          <w:bCs w:val="1"/>
          <w:color w:val="auto"/>
        </w:rPr>
        <w:t>Broker Non-Votes</w:t>
      </w:r>
    </w:p>
    <w:p>
      <w:pPr>
        <w:spacing w:after="0" w:line="44" w:lineRule="exact"/>
        <w:rPr>
          <w:sz w:val="20"/>
          <w:szCs w:val="20"/>
          <w:color w:val="auto"/>
        </w:rPr>
      </w:pPr>
    </w:p>
    <w:p>
      <w:pPr>
        <w:jc w:val="center"/>
        <w:ind w:right="1760"/>
        <w:spacing w:after="0"/>
        <w:rPr>
          <w:sz w:val="20"/>
          <w:szCs w:val="20"/>
          <w:color w:val="auto"/>
        </w:rPr>
      </w:pPr>
      <w:r>
        <w:rPr>
          <w:rFonts w:ascii="Arial" w:cs="Arial" w:eastAsia="Arial" w:hAnsi="Arial"/>
          <w:sz w:val="14"/>
          <w:szCs w:val="14"/>
          <w:color w:val="auto"/>
        </w:rPr>
        <w:t>0</w:t>
      </w:r>
    </w:p>
    <w:p>
      <w:pPr>
        <w:spacing w:after="0" w:line="154" w:lineRule="exact"/>
        <w:rPr>
          <w:sz w:val="20"/>
          <w:szCs w:val="20"/>
          <w:color w:val="auto"/>
        </w:rPr>
      </w:pPr>
    </w:p>
    <w:p>
      <w:pPr>
        <w:sectPr>
          <w:pgSz w:w="11900" w:h="16838" w:orient="portrait"/>
          <w:cols w:equalWidth="0" w:num="4">
            <w:col w:w="3340" w:space="720"/>
            <w:col w:w="1540" w:space="720"/>
            <w:col w:w="1300" w:space="720"/>
            <w:col w:w="2940"/>
          </w:cols>
          <w:pgMar w:left="300" w:top="730" w:right="319" w:bottom="1440" w:gutter="0" w:footer="0" w:header="0"/>
          <w:type w:val="continuous"/>
        </w:sectPr>
      </w:pPr>
    </w:p>
    <w:p>
      <w:pPr>
        <w:ind w:right="120"/>
        <w:spacing w:after="0" w:line="290" w:lineRule="auto"/>
        <w:rPr>
          <w:sz w:val="20"/>
          <w:szCs w:val="20"/>
          <w:color w:val="auto"/>
        </w:rPr>
      </w:pPr>
      <w:r>
        <w:rPr>
          <w:rFonts w:ascii="Arial" w:cs="Arial" w:eastAsia="Arial" w:hAnsi="Arial"/>
          <w:sz w:val="14"/>
          <w:szCs w:val="14"/>
          <w:color w:val="auto"/>
        </w:rPr>
        <w:t>With regard to Proposal No. 4, for the approval of an amendment to the Company’s 2025 Equity Incentive Plan to increase the number of shares available for issuance under such plan, the stockholders voted as follows:</w:t>
      </w:r>
    </w:p>
    <w:p>
      <w:pPr>
        <w:sectPr>
          <w:pgSz w:w="11900" w:h="16838" w:orient="portrait"/>
          <w:cols w:equalWidth="0" w:num="1">
            <w:col w:w="11280"/>
          </w:cols>
          <w:pgMar w:left="300" w:top="730" w:right="319" w:bottom="1440" w:gutter="0" w:footer="0" w:header="0"/>
          <w:type w:val="continuous"/>
        </w:sectPr>
      </w:pPr>
    </w:p>
    <w:p>
      <w:pPr>
        <w:spacing w:after="0" w:line="67" w:lineRule="exact"/>
        <w:rPr>
          <w:sz w:val="20"/>
          <w:szCs w:val="20"/>
          <w:color w:val="auto"/>
        </w:rPr>
      </w:pPr>
    </w:p>
    <w:p>
      <w:pPr>
        <w:ind w:left="2020"/>
        <w:spacing w:after="0"/>
        <w:rPr>
          <w:sz w:val="20"/>
          <w:szCs w:val="20"/>
          <w:color w:val="auto"/>
        </w:rPr>
      </w:pPr>
      <w:r>
        <w:rPr>
          <w:rFonts w:ascii="Arial" w:cs="Arial" w:eastAsia="Arial" w:hAnsi="Arial"/>
          <w:sz w:val="14"/>
          <w:szCs w:val="14"/>
          <w:b w:val="1"/>
          <w:bCs w:val="1"/>
          <w:color w:val="auto"/>
        </w:rPr>
        <w:t>Votes For</w:t>
      </w:r>
    </w:p>
    <w:p>
      <w:pPr>
        <w:spacing w:after="0" w:line="33" w:lineRule="exact"/>
        <w:rPr>
          <w:sz w:val="20"/>
          <w:szCs w:val="20"/>
          <w:color w:val="auto"/>
        </w:rPr>
      </w:pPr>
    </w:p>
    <w:p>
      <w:pPr>
        <w:ind w:left="2000"/>
        <w:spacing w:after="0"/>
        <w:rPr>
          <w:sz w:val="20"/>
          <w:szCs w:val="20"/>
          <w:color w:val="auto"/>
        </w:rPr>
      </w:pPr>
      <w:r>
        <w:rPr>
          <w:rFonts w:ascii="Arial" w:cs="Arial" w:eastAsia="Arial" w:hAnsi="Arial"/>
          <w:sz w:val="13"/>
          <w:szCs w:val="13"/>
          <w:color w:val="auto"/>
        </w:rPr>
        <w:t>31,318,146</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jc w:val="center"/>
        <w:ind w:right="600"/>
        <w:spacing w:after="0"/>
        <w:rPr>
          <w:sz w:val="20"/>
          <w:szCs w:val="20"/>
          <w:color w:val="auto"/>
        </w:rPr>
      </w:pPr>
      <w:r>
        <w:rPr>
          <w:rFonts w:ascii="Arial" w:cs="Arial" w:eastAsia="Arial" w:hAnsi="Arial"/>
          <w:sz w:val="14"/>
          <w:szCs w:val="14"/>
          <w:b w:val="1"/>
          <w:bCs w:val="1"/>
          <w:color w:val="auto"/>
        </w:rPr>
        <w:t>Votes Against</w:t>
      </w:r>
    </w:p>
    <w:p>
      <w:pPr>
        <w:spacing w:after="0" w:line="33" w:lineRule="exact"/>
        <w:rPr>
          <w:sz w:val="20"/>
          <w:szCs w:val="20"/>
          <w:color w:val="auto"/>
        </w:rPr>
      </w:pPr>
    </w:p>
    <w:p>
      <w:pPr>
        <w:jc w:val="center"/>
        <w:ind w:right="600"/>
        <w:spacing w:after="0"/>
        <w:rPr>
          <w:sz w:val="20"/>
          <w:szCs w:val="20"/>
          <w:color w:val="auto"/>
        </w:rPr>
      </w:pPr>
      <w:r>
        <w:rPr>
          <w:rFonts w:ascii="Arial" w:cs="Arial" w:eastAsia="Arial" w:hAnsi="Arial"/>
          <w:sz w:val="14"/>
          <w:szCs w:val="14"/>
          <w:color w:val="auto"/>
        </w:rPr>
        <w:t>11,285,569</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jc w:val="center"/>
        <w:ind w:right="480"/>
        <w:spacing w:after="0"/>
        <w:rPr>
          <w:sz w:val="20"/>
          <w:szCs w:val="20"/>
          <w:color w:val="auto"/>
        </w:rPr>
      </w:pPr>
      <w:r>
        <w:rPr>
          <w:rFonts w:ascii="Arial" w:cs="Arial" w:eastAsia="Arial" w:hAnsi="Arial"/>
          <w:sz w:val="14"/>
          <w:szCs w:val="14"/>
          <w:b w:val="1"/>
          <w:bCs w:val="1"/>
          <w:color w:val="auto"/>
        </w:rPr>
        <w:t>Abstentions</w:t>
      </w:r>
    </w:p>
    <w:p>
      <w:pPr>
        <w:spacing w:after="0" w:line="33"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23,801</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jc w:val="center"/>
        <w:ind w:right="1760"/>
        <w:spacing w:after="0"/>
        <w:rPr>
          <w:sz w:val="20"/>
          <w:szCs w:val="20"/>
          <w:color w:val="auto"/>
        </w:rPr>
      </w:pPr>
      <w:r>
        <w:rPr>
          <w:rFonts w:ascii="Arial" w:cs="Arial" w:eastAsia="Arial" w:hAnsi="Arial"/>
          <w:sz w:val="13"/>
          <w:szCs w:val="13"/>
          <w:b w:val="1"/>
          <w:bCs w:val="1"/>
          <w:color w:val="auto"/>
        </w:rPr>
        <w:t>Broker Non-Votes</w:t>
      </w:r>
    </w:p>
    <w:p>
      <w:pPr>
        <w:spacing w:after="0" w:line="44" w:lineRule="exact"/>
        <w:rPr>
          <w:sz w:val="20"/>
          <w:szCs w:val="20"/>
          <w:color w:val="auto"/>
        </w:rPr>
      </w:pPr>
    </w:p>
    <w:p>
      <w:pPr>
        <w:jc w:val="center"/>
        <w:ind w:right="1760"/>
        <w:spacing w:after="0"/>
        <w:rPr>
          <w:sz w:val="20"/>
          <w:szCs w:val="20"/>
          <w:color w:val="auto"/>
        </w:rPr>
      </w:pPr>
      <w:r>
        <w:rPr>
          <w:rFonts w:ascii="Arial" w:cs="Arial" w:eastAsia="Arial" w:hAnsi="Arial"/>
          <w:sz w:val="14"/>
          <w:szCs w:val="14"/>
          <w:color w:val="auto"/>
        </w:rPr>
        <w:t>4,545,112</w:t>
      </w:r>
    </w:p>
    <w:p>
      <w:pPr>
        <w:spacing w:after="0" w:line="200" w:lineRule="exact"/>
        <w:rPr>
          <w:sz w:val="20"/>
          <w:szCs w:val="20"/>
          <w:color w:val="auto"/>
        </w:rPr>
      </w:pPr>
    </w:p>
    <w:p>
      <w:pPr>
        <w:sectPr>
          <w:pgSz w:w="11900" w:h="16838" w:orient="portrait"/>
          <w:cols w:equalWidth="0" w:num="4">
            <w:col w:w="3340" w:space="720"/>
            <w:col w:w="1540" w:space="720"/>
            <w:col w:w="1300" w:space="720"/>
            <w:col w:w="2940"/>
          </w:cols>
          <w:pgMar w:left="300" w:top="730" w:right="319" w:bottom="1440" w:gutter="0" w:footer="0" w:header="0"/>
          <w:type w:val="continuous"/>
        </w:sectPr>
      </w:pPr>
    </w:p>
    <w:p>
      <w:pPr>
        <w:spacing w:after="0" w:line="29" w:lineRule="exact"/>
        <w:rPr>
          <w:sz w:val="20"/>
          <w:szCs w:val="20"/>
          <w:color w:val="auto"/>
        </w:rPr>
      </w:pPr>
    </w:p>
    <w:p>
      <w:pPr>
        <w:ind w:right="340"/>
        <w:spacing w:after="0" w:line="290" w:lineRule="auto"/>
        <w:rPr>
          <w:sz w:val="20"/>
          <w:szCs w:val="20"/>
          <w:color w:val="auto"/>
        </w:rPr>
      </w:pPr>
      <w:r>
        <w:rPr>
          <w:rFonts w:ascii="Arial" w:cs="Arial" w:eastAsia="Arial" w:hAnsi="Arial"/>
          <w:sz w:val="14"/>
          <w:szCs w:val="14"/>
          <w:color w:val="auto"/>
        </w:rPr>
        <w:t>With regard to Proposal No. 5, for the approval of an amendment to the Company’s Certificate of Incorporation to permit stockholders to call special stockholders meetings, the stockholders voted as follows:</w:t>
      </w:r>
    </w:p>
    <w:p>
      <w:pPr>
        <w:sectPr>
          <w:pgSz w:w="11900" w:h="16838" w:orient="portrait"/>
          <w:cols w:equalWidth="0" w:num="1">
            <w:col w:w="11280"/>
          </w:cols>
          <w:pgMar w:left="300" w:top="730" w:right="319" w:bottom="1440" w:gutter="0" w:footer="0" w:header="0"/>
          <w:type w:val="continuous"/>
        </w:sectPr>
      </w:pPr>
    </w:p>
    <w:p>
      <w:pPr>
        <w:spacing w:after="0" w:line="152" w:lineRule="exact"/>
        <w:rPr>
          <w:sz w:val="20"/>
          <w:szCs w:val="20"/>
          <w:color w:val="auto"/>
        </w:rPr>
      </w:pPr>
    </w:p>
    <w:p>
      <w:pPr>
        <w:ind w:left="2040"/>
        <w:spacing w:after="0"/>
        <w:rPr>
          <w:sz w:val="20"/>
          <w:szCs w:val="20"/>
          <w:color w:val="auto"/>
        </w:rPr>
      </w:pPr>
      <w:r>
        <w:rPr>
          <w:rFonts w:ascii="Arial" w:cs="Arial" w:eastAsia="Arial" w:hAnsi="Arial"/>
          <w:sz w:val="14"/>
          <w:szCs w:val="14"/>
          <w:b w:val="1"/>
          <w:bCs w:val="1"/>
          <w:color w:val="auto"/>
        </w:rPr>
        <w:t>Votes For</w:t>
      </w:r>
    </w:p>
    <w:p>
      <w:pPr>
        <w:spacing w:after="0" w:line="33" w:lineRule="exact"/>
        <w:rPr>
          <w:sz w:val="20"/>
          <w:szCs w:val="20"/>
          <w:color w:val="auto"/>
        </w:rPr>
      </w:pPr>
    </w:p>
    <w:p>
      <w:pPr>
        <w:ind w:left="2000"/>
        <w:spacing w:after="0"/>
        <w:rPr>
          <w:sz w:val="20"/>
          <w:szCs w:val="20"/>
          <w:color w:val="auto"/>
        </w:rPr>
      </w:pPr>
      <w:r>
        <w:rPr>
          <w:rFonts w:ascii="Arial" w:cs="Arial" w:eastAsia="Arial" w:hAnsi="Arial"/>
          <w:sz w:val="13"/>
          <w:szCs w:val="13"/>
          <w:color w:val="auto"/>
        </w:rPr>
        <w:t>42,570,475</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jc w:val="center"/>
        <w:ind w:right="600"/>
        <w:spacing w:after="0"/>
        <w:rPr>
          <w:sz w:val="20"/>
          <w:szCs w:val="20"/>
          <w:color w:val="auto"/>
        </w:rPr>
      </w:pPr>
      <w:r>
        <w:rPr>
          <w:rFonts w:ascii="Arial" w:cs="Arial" w:eastAsia="Arial" w:hAnsi="Arial"/>
          <w:sz w:val="13"/>
          <w:szCs w:val="13"/>
          <w:b w:val="1"/>
          <w:bCs w:val="1"/>
          <w:color w:val="auto"/>
        </w:rPr>
        <w:t>Votes Against</w:t>
      </w:r>
    </w:p>
    <w:p>
      <w:pPr>
        <w:spacing w:after="0" w:line="44" w:lineRule="exact"/>
        <w:rPr>
          <w:sz w:val="20"/>
          <w:szCs w:val="20"/>
          <w:color w:val="auto"/>
        </w:rPr>
      </w:pPr>
    </w:p>
    <w:p>
      <w:pPr>
        <w:jc w:val="center"/>
        <w:ind w:right="600"/>
        <w:spacing w:after="0"/>
        <w:rPr>
          <w:sz w:val="20"/>
          <w:szCs w:val="20"/>
          <w:color w:val="auto"/>
        </w:rPr>
      </w:pPr>
      <w:r>
        <w:rPr>
          <w:rFonts w:ascii="Arial" w:cs="Arial" w:eastAsia="Arial" w:hAnsi="Arial"/>
          <w:sz w:val="14"/>
          <w:szCs w:val="14"/>
          <w:color w:val="auto"/>
        </w:rPr>
        <w:t>42,704</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jc w:val="center"/>
        <w:ind w:right="480"/>
        <w:spacing w:after="0"/>
        <w:rPr>
          <w:sz w:val="20"/>
          <w:szCs w:val="20"/>
          <w:color w:val="auto"/>
        </w:rPr>
      </w:pPr>
      <w:r>
        <w:rPr>
          <w:rFonts w:ascii="Arial" w:cs="Arial" w:eastAsia="Arial" w:hAnsi="Arial"/>
          <w:sz w:val="14"/>
          <w:szCs w:val="14"/>
          <w:b w:val="1"/>
          <w:bCs w:val="1"/>
          <w:color w:val="auto"/>
        </w:rPr>
        <w:t>Abstentions</w:t>
      </w:r>
    </w:p>
    <w:p>
      <w:pPr>
        <w:spacing w:after="0" w:line="33"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14,337</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jc w:val="center"/>
        <w:ind w:right="1760"/>
        <w:spacing w:after="0"/>
        <w:rPr>
          <w:sz w:val="20"/>
          <w:szCs w:val="20"/>
          <w:color w:val="auto"/>
        </w:rPr>
      </w:pPr>
      <w:r>
        <w:rPr>
          <w:rFonts w:ascii="Arial" w:cs="Arial" w:eastAsia="Arial" w:hAnsi="Arial"/>
          <w:sz w:val="13"/>
          <w:szCs w:val="13"/>
          <w:b w:val="1"/>
          <w:bCs w:val="1"/>
          <w:color w:val="auto"/>
        </w:rPr>
        <w:t>Broker Non-Votes</w:t>
      </w:r>
    </w:p>
    <w:p>
      <w:pPr>
        <w:spacing w:after="0" w:line="44" w:lineRule="exact"/>
        <w:rPr>
          <w:sz w:val="20"/>
          <w:szCs w:val="20"/>
          <w:color w:val="auto"/>
        </w:rPr>
      </w:pPr>
    </w:p>
    <w:p>
      <w:pPr>
        <w:jc w:val="center"/>
        <w:ind w:right="1760"/>
        <w:spacing w:after="0"/>
        <w:rPr>
          <w:sz w:val="20"/>
          <w:szCs w:val="20"/>
          <w:color w:val="auto"/>
        </w:rPr>
      </w:pPr>
      <w:r>
        <w:rPr>
          <w:rFonts w:ascii="Arial" w:cs="Arial" w:eastAsia="Arial" w:hAnsi="Arial"/>
          <w:sz w:val="14"/>
          <w:szCs w:val="14"/>
          <w:color w:val="auto"/>
        </w:rPr>
        <w:t>4,545,112</w:t>
      </w:r>
    </w:p>
    <w:p>
      <w:pPr>
        <w:spacing w:after="0" w:line="200" w:lineRule="exact"/>
        <w:rPr>
          <w:sz w:val="20"/>
          <w:szCs w:val="20"/>
          <w:color w:val="auto"/>
        </w:rPr>
      </w:pPr>
    </w:p>
    <w:p>
      <w:pPr>
        <w:sectPr>
          <w:pgSz w:w="11900" w:h="16838" w:orient="portrait"/>
          <w:cols w:equalWidth="0" w:num="4">
            <w:col w:w="3360" w:space="720"/>
            <w:col w:w="1520" w:space="720"/>
            <w:col w:w="1300" w:space="720"/>
            <w:col w:w="2940"/>
          </w:cols>
          <w:pgMar w:left="300" w:top="730" w:right="319" w:bottom="1440" w:gutter="0" w:footer="0" w:header="0"/>
          <w:type w:val="continuous"/>
        </w:sectPr>
      </w:pPr>
    </w:p>
    <w:p>
      <w:pPr>
        <w:spacing w:after="0" w:line="39"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9.01.</w:t>
        <w:tab/>
        <w:t>Financial Statements and Exhibits.</w:t>
      </w:r>
    </w:p>
    <w:p>
      <w:pPr>
        <w:spacing w:after="0" w:line="125" w:lineRule="exact"/>
        <w:rPr>
          <w:sz w:val="20"/>
          <w:szCs w:val="20"/>
          <w:color w:val="auto"/>
        </w:rPr>
      </w:pPr>
    </w:p>
    <w:p>
      <w:pPr>
        <w:ind w:left="880" w:hanging="366"/>
        <w:spacing w:after="0"/>
        <w:tabs>
          <w:tab w:leader="none" w:pos="880" w:val="left"/>
        </w:tabs>
        <w:numPr>
          <w:ilvl w:val="0"/>
          <w:numId w:val="3"/>
        </w:numPr>
        <w:rPr>
          <w:rFonts w:ascii="Arial" w:cs="Arial" w:eastAsia="Arial" w:hAnsi="Arial"/>
          <w:sz w:val="14"/>
          <w:szCs w:val="14"/>
          <w:color w:val="auto"/>
        </w:rPr>
      </w:pPr>
      <w:r>
        <w:rPr>
          <w:rFonts w:ascii="Arial" w:cs="Arial" w:eastAsia="Arial" w:hAnsi="Arial"/>
          <w:sz w:val="14"/>
          <w:szCs w:val="14"/>
          <w:color w:val="auto"/>
        </w:rPr>
        <w:t>Exhibits: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340" w:type="dxa"/>
            <w:vAlign w:val="bottom"/>
          </w:tcPr>
          <w:p>
            <w:pPr>
              <w:ind w:left="20"/>
              <w:spacing w:after="0"/>
              <w:rPr>
                <w:sz w:val="20"/>
                <w:szCs w:val="20"/>
                <w:color w:val="auto"/>
              </w:rPr>
            </w:pPr>
            <w:r>
              <w:rPr>
                <w:rFonts w:ascii="Arial" w:cs="Arial" w:eastAsia="Arial" w:hAnsi="Arial"/>
                <w:sz w:val="14"/>
                <w:szCs w:val="14"/>
                <w:b w:val="1"/>
                <w:bCs w:val="1"/>
                <w:color w:val="auto"/>
              </w:rPr>
              <w:t>Exhibit No.</w:t>
            </w:r>
          </w:p>
        </w:tc>
        <w:tc>
          <w:tcPr>
            <w:tcW w:w="9940" w:type="dxa"/>
            <w:vAlign w:val="bottom"/>
            <w:gridSpan w:val="4"/>
          </w:tcPr>
          <w:p>
            <w:pPr>
              <w:spacing w:after="0"/>
              <w:rPr>
                <w:sz w:val="20"/>
                <w:szCs w:val="20"/>
                <w:color w:val="auto"/>
              </w:rPr>
            </w:pPr>
            <w:r>
              <w:rPr>
                <w:rFonts w:ascii="Arial" w:cs="Arial" w:eastAsia="Arial" w:hAnsi="Arial"/>
                <w:sz w:val="14"/>
                <w:szCs w:val="14"/>
                <w:b w:val="1"/>
                <w:bCs w:val="1"/>
                <w:color w:val="auto"/>
              </w:rPr>
              <w:t>Description</w:t>
            </w:r>
          </w:p>
        </w:tc>
      </w:tr>
      <w:tr>
        <w:trPr>
          <w:trHeight w:val="153"/>
        </w:trPr>
        <w:tc>
          <w:tcPr>
            <w:tcW w:w="1340" w:type="dxa"/>
            <w:vAlign w:val="bottom"/>
          </w:tcPr>
          <w:p>
            <w:pPr>
              <w:ind w:left="20"/>
              <w:spacing w:after="0" w:line="153" w:lineRule="exact"/>
              <w:rPr>
                <w:sz w:val="20"/>
                <w:szCs w:val="20"/>
                <w:color w:val="auto"/>
              </w:rPr>
            </w:pPr>
            <w:r>
              <w:rPr>
                <w:rFonts w:ascii="Arial" w:cs="Arial" w:eastAsia="Arial" w:hAnsi="Arial"/>
                <w:sz w:val="14"/>
                <w:szCs w:val="14"/>
                <w:color w:val="auto"/>
              </w:rPr>
              <w:t>3.1</w:t>
            </w:r>
          </w:p>
        </w:tc>
        <w:tc>
          <w:tcPr>
            <w:tcW w:w="9940" w:type="dxa"/>
            <w:vAlign w:val="bottom"/>
            <w:gridSpan w:val="4"/>
          </w:tcPr>
          <w:p>
            <w:pPr>
              <w:spacing w:after="0" w:line="153" w:lineRule="exact"/>
              <w:rPr>
                <w:sz w:val="20"/>
                <w:szCs w:val="20"/>
                <w:color w:val="auto"/>
              </w:rPr>
            </w:pPr>
            <w:r>
              <w:rPr>
                <w:rFonts w:ascii="Arial" w:cs="Arial" w:eastAsia="Arial" w:hAnsi="Arial"/>
                <w:sz w:val="14"/>
                <w:szCs w:val="14"/>
                <w:color w:val="0000FF"/>
              </w:rPr>
              <w:t>Certificate of Amendment to Certificate of Incorporation</w:t>
            </w:r>
          </w:p>
        </w:tc>
      </w:tr>
      <w:tr>
        <w:trPr>
          <w:trHeight w:val="20"/>
        </w:trPr>
        <w:tc>
          <w:tcPr>
            <w:tcW w:w="1340" w:type="dxa"/>
            <w:vAlign w:val="bottom"/>
          </w:tcPr>
          <w:p>
            <w:pPr>
              <w:spacing w:after="0" w:line="20" w:lineRule="exact"/>
              <w:rPr>
                <w:sz w:val="1"/>
                <w:szCs w:val="1"/>
                <w:color w:val="auto"/>
              </w:rPr>
            </w:pPr>
          </w:p>
        </w:tc>
        <w:tc>
          <w:tcPr>
            <w:tcW w:w="34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r>
      <w:tr>
        <w:trPr>
          <w:trHeight w:val="160"/>
        </w:trPr>
        <w:tc>
          <w:tcPr>
            <w:tcW w:w="1340" w:type="dxa"/>
            <w:vAlign w:val="bottom"/>
          </w:tcPr>
          <w:p>
            <w:pPr>
              <w:ind w:left="20"/>
              <w:spacing w:after="0"/>
              <w:rPr>
                <w:sz w:val="20"/>
                <w:szCs w:val="20"/>
                <w:color w:val="auto"/>
              </w:rPr>
            </w:pPr>
            <w:r>
              <w:rPr>
                <w:rFonts w:ascii="Arial" w:cs="Arial" w:eastAsia="Arial" w:hAnsi="Arial"/>
                <w:sz w:val="14"/>
                <w:szCs w:val="14"/>
                <w:color w:val="auto"/>
              </w:rPr>
              <w:t>3.2</w:t>
            </w:r>
          </w:p>
        </w:tc>
        <w:tc>
          <w:tcPr>
            <w:tcW w:w="3620" w:type="dxa"/>
            <w:vAlign w:val="bottom"/>
            <w:tcBorders>
              <w:bottom w:val="single" w:sz="8" w:color="0000FF"/>
            </w:tcBorders>
            <w:gridSpan w:val="2"/>
          </w:tcPr>
          <w:p>
            <w:pPr>
              <w:spacing w:after="0"/>
              <w:rPr>
                <w:sz w:val="20"/>
                <w:szCs w:val="20"/>
                <w:color w:val="auto"/>
              </w:rPr>
            </w:pPr>
            <w:r>
              <w:rPr>
                <w:rFonts w:ascii="Arial" w:cs="Arial" w:eastAsia="Arial" w:hAnsi="Arial"/>
                <w:sz w:val="14"/>
                <w:szCs w:val="14"/>
                <w:color w:val="0000FF"/>
              </w:rPr>
              <w:t>Amended and Restated Bylaws of Molina Healthcare, Inc.</w:t>
            </w:r>
          </w:p>
        </w:tc>
        <w:tc>
          <w:tcPr>
            <w:tcW w:w="6320" w:type="dxa"/>
            <w:vAlign w:val="bottom"/>
            <w:gridSpan w:val="2"/>
          </w:tcPr>
          <w:p>
            <w:pPr>
              <w:spacing w:after="0"/>
              <w:rPr>
                <w:sz w:val="13"/>
                <w:szCs w:val="13"/>
                <w:color w:val="auto"/>
              </w:rPr>
            </w:pPr>
          </w:p>
        </w:tc>
      </w:tr>
      <w:tr>
        <w:trPr>
          <w:trHeight w:val="160"/>
        </w:trPr>
        <w:tc>
          <w:tcPr>
            <w:tcW w:w="1340" w:type="dxa"/>
            <w:vAlign w:val="bottom"/>
          </w:tcPr>
          <w:p>
            <w:pPr>
              <w:ind w:left="20"/>
              <w:spacing w:after="0"/>
              <w:rPr>
                <w:sz w:val="20"/>
                <w:szCs w:val="20"/>
                <w:color w:val="auto"/>
              </w:rPr>
            </w:pPr>
            <w:r>
              <w:rPr>
                <w:rFonts w:ascii="Arial" w:cs="Arial" w:eastAsia="Arial" w:hAnsi="Arial"/>
                <w:sz w:val="14"/>
                <w:szCs w:val="14"/>
                <w:color w:val="auto"/>
              </w:rPr>
              <w:t>10.1</w:t>
            </w:r>
          </w:p>
        </w:tc>
        <w:tc>
          <w:tcPr>
            <w:tcW w:w="5200" w:type="dxa"/>
            <w:vAlign w:val="bottom"/>
            <w:tcBorders>
              <w:bottom w:val="single" w:sz="8" w:color="0000FF"/>
            </w:tcBorders>
            <w:gridSpan w:val="3"/>
          </w:tcPr>
          <w:p>
            <w:pPr>
              <w:spacing w:after="0"/>
              <w:rPr>
                <w:sz w:val="20"/>
                <w:szCs w:val="20"/>
                <w:color w:val="auto"/>
              </w:rPr>
            </w:pPr>
            <w:r>
              <w:rPr>
                <w:rFonts w:ascii="Arial" w:cs="Arial" w:eastAsia="Arial" w:hAnsi="Arial"/>
                <w:sz w:val="14"/>
                <w:szCs w:val="14"/>
                <w:color w:val="0000FF"/>
              </w:rPr>
              <w:t>Amendment Number One to the Molina Healthcare, Inc. 2025 Equity Incentive Plan</w:t>
            </w:r>
          </w:p>
        </w:tc>
        <w:tc>
          <w:tcPr>
            <w:tcW w:w="4740" w:type="dxa"/>
            <w:vAlign w:val="bottom"/>
          </w:tcPr>
          <w:p>
            <w:pPr>
              <w:spacing w:after="0"/>
              <w:rPr>
                <w:sz w:val="13"/>
                <w:szCs w:val="13"/>
                <w:color w:val="auto"/>
              </w:rPr>
            </w:pPr>
          </w:p>
        </w:tc>
      </w:tr>
      <w:tr>
        <w:trPr>
          <w:trHeight w:val="194"/>
        </w:trPr>
        <w:tc>
          <w:tcPr>
            <w:tcW w:w="1340" w:type="dxa"/>
            <w:vAlign w:val="bottom"/>
          </w:tcPr>
          <w:p>
            <w:pPr>
              <w:ind w:left="20"/>
              <w:spacing w:after="0"/>
              <w:rPr>
                <w:sz w:val="20"/>
                <w:szCs w:val="20"/>
                <w:color w:val="auto"/>
              </w:rPr>
            </w:pPr>
            <w:r>
              <w:rPr>
                <w:rFonts w:ascii="Arial" w:cs="Arial" w:eastAsia="Arial" w:hAnsi="Arial"/>
                <w:sz w:val="14"/>
                <w:szCs w:val="14"/>
                <w:color w:val="auto"/>
              </w:rPr>
              <w:t>104</w:t>
            </w:r>
          </w:p>
        </w:tc>
        <w:tc>
          <w:tcPr>
            <w:tcW w:w="9940" w:type="dxa"/>
            <w:vAlign w:val="bottom"/>
            <w:gridSpan w:val="4"/>
          </w:tcPr>
          <w:p>
            <w:pPr>
              <w:spacing w:after="0"/>
              <w:rPr>
                <w:sz w:val="20"/>
                <w:szCs w:val="20"/>
                <w:color w:val="auto"/>
              </w:rPr>
            </w:pPr>
            <w:r>
              <w:rPr>
                <w:rFonts w:ascii="Arial" w:cs="Arial" w:eastAsia="Arial" w:hAnsi="Arial"/>
                <w:sz w:val="14"/>
                <w:szCs w:val="14"/>
                <w:color w:val="auto"/>
              </w:rPr>
              <w:t>Cover Page Interactive Data File (embedded within the Inline XBRL document)</w:t>
            </w:r>
          </w:p>
        </w:tc>
      </w:tr>
      <w:tr>
        <w:trPr>
          <w:trHeight w:val="764"/>
        </w:trPr>
        <w:tc>
          <w:tcPr>
            <w:tcW w:w="134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4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4"/>
          <w:szCs w:val="14"/>
          <w:b w:val="1"/>
          <w:bCs w:val="1"/>
          <w:color w:val="auto"/>
        </w:rPr>
        <w:t>SIGNATURE</w:t>
      </w:r>
    </w:p>
    <w:p>
      <w:pPr>
        <w:spacing w:after="0" w:line="115" w:lineRule="exact"/>
        <w:rPr>
          <w:sz w:val="20"/>
          <w:szCs w:val="20"/>
          <w:color w:val="auto"/>
        </w:rPr>
      </w:pPr>
    </w:p>
    <w:p>
      <w:pPr>
        <w:ind w:right="80" w:firstLine="509"/>
        <w:spacing w:after="0" w:line="290"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hereunto duly authorized.</w:t>
      </w:r>
    </w:p>
    <w:p>
      <w:pPr>
        <w:spacing w:after="0" w:line="99"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60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7320" w:type="dxa"/>
            <w:vAlign w:val="bottom"/>
            <w:gridSpan w:val="2"/>
          </w:tcPr>
          <w:p>
            <w:pPr>
              <w:ind w:left="2240"/>
              <w:spacing w:after="0"/>
              <w:rPr>
                <w:sz w:val="20"/>
                <w:szCs w:val="20"/>
                <w:color w:val="auto"/>
              </w:rPr>
            </w:pPr>
            <w:r>
              <w:rPr>
                <w:rFonts w:ascii="Arial" w:cs="Arial" w:eastAsia="Arial" w:hAnsi="Arial"/>
                <w:sz w:val="14"/>
                <w:szCs w:val="14"/>
                <w:color w:val="auto"/>
              </w:rPr>
              <w:t>MOLINA HEALTHCARE, INC.</w:t>
            </w:r>
          </w:p>
        </w:tc>
      </w:tr>
      <w:tr>
        <w:trPr>
          <w:trHeight w:val="444"/>
        </w:trPr>
        <w:tc>
          <w:tcPr>
            <w:tcW w:w="600" w:type="dxa"/>
            <w:vAlign w:val="bottom"/>
          </w:tcPr>
          <w:p>
            <w:pPr>
              <w:spacing w:after="0"/>
              <w:rPr>
                <w:sz w:val="20"/>
                <w:szCs w:val="20"/>
                <w:color w:val="auto"/>
              </w:rPr>
            </w:pPr>
            <w:r>
              <w:rPr>
                <w:rFonts w:ascii="Arial" w:cs="Arial" w:eastAsia="Arial" w:hAnsi="Arial"/>
                <w:sz w:val="14"/>
                <w:szCs w:val="14"/>
                <w:color w:val="auto"/>
              </w:rPr>
              <w:t>Date:</w:t>
            </w:r>
          </w:p>
        </w:tc>
        <w:tc>
          <w:tcPr>
            <w:tcW w:w="3300" w:type="dxa"/>
            <w:vAlign w:val="bottom"/>
          </w:tcPr>
          <w:p>
            <w:pPr>
              <w:ind w:left="260"/>
              <w:spacing w:after="0"/>
              <w:rPr>
                <w:sz w:val="20"/>
                <w:szCs w:val="20"/>
                <w:color w:val="auto"/>
              </w:rPr>
            </w:pPr>
            <w:r>
              <w:rPr>
                <w:rFonts w:ascii="Arial" w:cs="Arial" w:eastAsia="Arial" w:hAnsi="Arial"/>
                <w:sz w:val="14"/>
                <w:szCs w:val="14"/>
                <w:color w:val="auto"/>
              </w:rPr>
              <w:t>May 11, 2026</w:t>
            </w:r>
          </w:p>
        </w:tc>
        <w:tc>
          <w:tcPr>
            <w:tcW w:w="2760" w:type="dxa"/>
            <w:vAlign w:val="bottom"/>
          </w:tcPr>
          <w:p>
            <w:pPr>
              <w:ind w:left="2200"/>
              <w:spacing w:after="0"/>
              <w:rPr>
                <w:sz w:val="20"/>
                <w:szCs w:val="20"/>
                <w:color w:val="auto"/>
              </w:rPr>
            </w:pPr>
            <w:r>
              <w:rPr>
                <w:rFonts w:ascii="Arial" w:cs="Arial" w:eastAsia="Arial" w:hAnsi="Arial"/>
                <w:sz w:val="14"/>
                <w:szCs w:val="14"/>
                <w:color w:val="auto"/>
              </w:rPr>
              <w:t>By:</w:t>
            </w:r>
          </w:p>
        </w:tc>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/s/ Jeff D. Barlow</w:t>
            </w:r>
          </w:p>
        </w:tc>
      </w:tr>
      <w:tr>
        <w:trPr>
          <w:trHeight w:val="167"/>
        </w:trPr>
        <w:tc>
          <w:tcPr>
            <w:tcW w:w="6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4560" w:type="dxa"/>
            <w:vAlign w:val="bottom"/>
          </w:tcPr>
          <w:p>
            <w:pPr>
              <w:ind w:left="20"/>
              <w:spacing w:after="0"/>
              <w:rPr>
                <w:sz w:val="20"/>
                <w:szCs w:val="20"/>
                <w:color w:val="auto"/>
              </w:rPr>
            </w:pPr>
            <w:r>
              <w:rPr>
                <w:rFonts w:ascii="Arial" w:cs="Arial" w:eastAsia="Arial" w:hAnsi="Arial"/>
                <w:sz w:val="14"/>
                <w:szCs w:val="14"/>
                <w:color w:val="auto"/>
              </w:rPr>
              <w:t>Jeff D. Barlow</w:t>
            </w:r>
          </w:p>
        </w:tc>
      </w:tr>
      <w:tr>
        <w:trPr>
          <w:trHeight w:val="186"/>
        </w:trPr>
        <w:tc>
          <w:tcPr>
            <w:tcW w:w="60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4560" w:type="dxa"/>
            <w:vAlign w:val="bottom"/>
          </w:tcPr>
          <w:p>
            <w:pPr>
              <w:ind w:left="20"/>
              <w:spacing w:after="0"/>
              <w:rPr>
                <w:sz w:val="20"/>
                <w:szCs w:val="20"/>
                <w:color w:val="auto"/>
              </w:rPr>
            </w:pPr>
            <w:r>
              <w:rPr>
                <w:rFonts w:ascii="Arial" w:cs="Arial" w:eastAsia="Arial" w:hAnsi="Arial"/>
                <w:sz w:val="14"/>
                <w:szCs w:val="14"/>
                <w:color w:val="auto"/>
              </w:rPr>
              <w:t>Chief Legal Officer and Secretary</w:t>
            </w:r>
          </w:p>
        </w:tc>
      </w:tr>
    </w:tbl>
    <w:p>
      <w:pPr>
        <w:sectPr>
          <w:pgSz w:w="11900" w:h="16838" w:orient="portrait"/>
          <w:cols w:equalWidth="0" w:num="1">
            <w:col w:w="11280"/>
          </w:cols>
          <w:pgMar w:left="300" w:top="846" w:right="319" w:bottom="1440" w:gutter="0" w:footer="0" w:header="0"/>
        </w:sectPr>
      </w:pPr>
    </w:p>
    <w:bookmarkStart w:id="5" w:name="page6"/>
    <w:bookmarkEnd w:id="5"/>
    <w:p>
      <w:pPr>
        <w:ind w:left="4120"/>
        <w:spacing w:after="0"/>
        <w:rPr>
          <w:sz w:val="20"/>
          <w:szCs w:val="20"/>
          <w:color w:val="auto"/>
        </w:rPr>
      </w:pPr>
      <w:r>
        <w:rPr>
          <w:rFonts w:ascii="Times New Roman" w:cs="Times New Roman" w:eastAsia="Times New Roman" w:hAnsi="Times New Roman"/>
          <w:sz w:val="16"/>
          <w:szCs w:val="16"/>
          <w:b w:val="1"/>
          <w:bCs w:val="1"/>
          <w:color w:val="auto"/>
        </w:rPr>
        <w:t>CERTIFICATE OF AMENDMENT TO THE</w:t>
      </w:r>
    </w:p>
    <w:p>
      <w:pPr>
        <w:spacing w:after="0" w:line="2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6"/>
          <w:szCs w:val="16"/>
          <w:b w:val="1"/>
          <w:bCs w:val="1"/>
          <w:color w:val="auto"/>
        </w:rPr>
        <w:t>CERTIFICATE OF INCORPORATION</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OF</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MOLINA HEALTHCARE, INC.</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Pursuant to §242 of the General Corporation Law</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of the State of Delaware</w:t>
      </w:r>
    </w:p>
    <w:p>
      <w:pPr>
        <w:spacing w:after="0" w:line="3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Molina Healthcare, Inc. (the “</w:t>
      </w:r>
      <w:r>
        <w:rPr>
          <w:rFonts w:ascii="Times New Roman" w:cs="Times New Roman" w:eastAsia="Times New Roman" w:hAnsi="Times New Roman"/>
          <w:sz w:val="16"/>
          <w:szCs w:val="16"/>
          <w:u w:val="single" w:color="auto"/>
          <w:color w:val="auto"/>
        </w:rPr>
        <w:t>Corporation</w:t>
      </w:r>
      <w:r>
        <w:rPr>
          <w:rFonts w:ascii="Times New Roman" w:cs="Times New Roman" w:eastAsia="Times New Roman" w:hAnsi="Times New Roman"/>
          <w:sz w:val="16"/>
          <w:szCs w:val="16"/>
          <w:color w:val="auto"/>
        </w:rPr>
        <w:t>”), a corporation organized and existing under and by virtue of the General Corporation Law of the State of Delaware,</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DOES HEREBY CERTIFY THAT:</w:t>
      </w:r>
    </w:p>
    <w:p>
      <w:pPr>
        <w:spacing w:after="0" w:line="179" w:lineRule="exact"/>
        <w:rPr>
          <w:sz w:val="20"/>
          <w:szCs w:val="20"/>
          <w:color w:val="auto"/>
        </w:rPr>
      </w:pPr>
    </w:p>
    <w:p>
      <w:pPr>
        <w:ind w:right="140" w:firstLine="514"/>
        <w:spacing w:after="0" w:line="259" w:lineRule="auto"/>
        <w:tabs>
          <w:tab w:leader="none" w:pos="1018"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Board of Directors of the Corporation duly adopted resolutions at a meeting recommending and declaring advisable that the Certificate of Incorporation of the Corporation be amended, and that such amendment be submitted to the stockholders of the Corporation for their consideration, as follows:</w:t>
      </w:r>
    </w:p>
    <w:p>
      <w:pPr>
        <w:spacing w:after="0" w:line="14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b w:val="1"/>
          <w:bCs w:val="1"/>
          <w:color w:val="auto"/>
        </w:rPr>
        <w:t>RESOLVED</w:t>
      </w:r>
      <w:r>
        <w:rPr>
          <w:rFonts w:ascii="Times New Roman" w:cs="Times New Roman" w:eastAsia="Times New Roman" w:hAnsi="Times New Roman"/>
          <w:sz w:val="16"/>
          <w:szCs w:val="16"/>
          <w:color w:val="auto"/>
        </w:rPr>
        <w:t>, that Article X, Paragraph A of the Certificate is hereby amended and restated in its entirety to read as follows:</w:t>
      </w:r>
    </w:p>
    <w:p>
      <w:pPr>
        <w:spacing w:after="0" w:line="179" w:lineRule="exact"/>
        <w:rPr>
          <w:sz w:val="20"/>
          <w:szCs w:val="20"/>
          <w:color w:val="auto"/>
        </w:rPr>
      </w:pPr>
    </w:p>
    <w:p>
      <w:pPr>
        <w:ind w:left="1020"/>
        <w:spacing w:after="0" w:line="246" w:lineRule="auto"/>
        <w:rPr>
          <w:sz w:val="20"/>
          <w:szCs w:val="20"/>
          <w:color w:val="auto"/>
        </w:rPr>
      </w:pPr>
      <w:r>
        <w:rPr>
          <w:rFonts w:ascii="Times New Roman" w:cs="Times New Roman" w:eastAsia="Times New Roman" w:hAnsi="Times New Roman"/>
          <w:sz w:val="16"/>
          <w:szCs w:val="16"/>
          <w:color w:val="auto"/>
        </w:rPr>
        <w:t>“Special meetings of the stockholders of the Corporation for any purpose or purposes may be called at any time by (i) the President or Chief Executive Officer of the Corporation, (ii) the Chairperson of the Board of Directors, (iii) the Board of Directors or a Committee of the Board of Directors which has been duly designated by the Board of Directors and the powers and authority of which, as provided in a resolution of the Board of Directors or in the Bylaws of the Corporation, include the power to call special meetings of the stockholders, or (iv) the Secretary of the Corporation, following his or her receipt of one or more written demands to call a special meeting of the stockholders from stockholders of record who have held continuously for at least one (1) year an aggregate of at least 20% of the voting power of the outstanding shares of capital stock of the Corporation, determined in accordance with the provisions of the Bylaws of the Corporation, and who otherwise comply with such other requirements and procedures set forth in the Bylaws of the Corporation, as now or hereinafter in effect. Such special meetings may not be called by any other person or persons.”</w:t>
      </w:r>
    </w:p>
    <w:p>
      <w:pPr>
        <w:spacing w:after="0" w:line="146" w:lineRule="exact"/>
        <w:rPr>
          <w:sz w:val="20"/>
          <w:szCs w:val="20"/>
          <w:color w:val="auto"/>
        </w:rPr>
      </w:pPr>
    </w:p>
    <w:p>
      <w:pPr>
        <w:ind w:left="1020" w:hanging="506"/>
        <w:spacing w:after="0"/>
        <w:tabs>
          <w:tab w:leader="none" w:pos="10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stockholders of the Corporation duly approved such amendment at an annual meeting of the stockholders of the Corporation.</w:t>
      </w:r>
    </w:p>
    <w:p>
      <w:pPr>
        <w:spacing w:after="0" w:line="176" w:lineRule="exact"/>
        <w:rPr>
          <w:rFonts w:ascii="Times New Roman" w:cs="Times New Roman" w:eastAsia="Times New Roman" w:hAnsi="Times New Roman"/>
          <w:sz w:val="16"/>
          <w:szCs w:val="16"/>
          <w:color w:val="auto"/>
        </w:rPr>
      </w:pPr>
    </w:p>
    <w:p>
      <w:pPr>
        <w:ind w:left="1020" w:hanging="506"/>
        <w:spacing w:after="0"/>
        <w:tabs>
          <w:tab w:leader="none" w:pos="10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amendment has been duly adopted in accordance with Section 242 of the General Corporation Law of the State of Delaware.</w:t>
      </w:r>
    </w:p>
    <w:p>
      <w:pPr>
        <w:spacing w:after="0" w:line="164" w:lineRule="exact"/>
        <w:rPr>
          <w:sz w:val="20"/>
          <w:szCs w:val="20"/>
          <w:color w:val="auto"/>
        </w:rPr>
      </w:pPr>
    </w:p>
    <w:p>
      <w:pPr>
        <w:ind w:right="200" w:firstLine="509"/>
        <w:spacing w:after="0" w:line="302" w:lineRule="auto"/>
        <w:rPr>
          <w:sz w:val="20"/>
          <w:szCs w:val="20"/>
          <w:color w:val="auto"/>
        </w:rPr>
      </w:pPr>
      <w:r>
        <w:rPr>
          <w:rFonts w:ascii="Times New Roman" w:cs="Times New Roman" w:eastAsia="Times New Roman" w:hAnsi="Times New Roman"/>
          <w:sz w:val="16"/>
          <w:szCs w:val="16"/>
          <w:b w:val="1"/>
          <w:bCs w:val="1"/>
          <w:color w:val="auto"/>
        </w:rPr>
        <w:t>IN WITNESS WHEREOF</w:t>
      </w:r>
      <w:r>
        <w:rPr>
          <w:rFonts w:ascii="Times New Roman" w:cs="Times New Roman" w:eastAsia="Times New Roman" w:hAnsi="Times New Roman"/>
          <w:sz w:val="16"/>
          <w:szCs w:val="16"/>
          <w:color w:val="auto"/>
        </w:rPr>
        <w:t>, the undersigned, being a duly authorized officer of the Corporation, does hereby execute this Certificate of Amendment to the Certificate 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this 6</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day of May, 2026.</w:t>
      </w:r>
    </w:p>
    <w:p>
      <w:pPr>
        <w:spacing w:after="0" w:line="200" w:lineRule="exact"/>
        <w:rPr>
          <w:sz w:val="20"/>
          <w:szCs w:val="20"/>
          <w:color w:val="auto"/>
        </w:rPr>
      </w:pPr>
    </w:p>
    <w:p>
      <w:pPr>
        <w:spacing w:after="0" w:line="23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6"/>
          <w:szCs w:val="16"/>
          <w:color w:val="auto"/>
        </w:rPr>
        <w:t>By: /s/ Joseph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2409190</wp:posOffset>
            </wp:positionH>
            <wp:positionV relativeFrom="paragraph">
              <wp:posOffset>-1905</wp:posOffset>
            </wp:positionV>
            <wp:extent cx="91313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13130" cy="6985"/>
                    </a:xfrm>
                    <a:prstGeom prst="rect">
                      <a:avLst/>
                    </a:prstGeom>
                    <a:noFill/>
                  </pic:spPr>
                </pic:pic>
              </a:graphicData>
            </a:graphic>
          </wp:anchor>
        </w:drawing>
      </w:r>
    </w:p>
    <w:p>
      <w:pPr>
        <w:spacing w:after="0" w:line="1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6"/>
          <w:szCs w:val="16"/>
          <w:color w:val="auto"/>
        </w:rPr>
        <w:t>Name: Joseph Zubretsky</w:t>
      </w:r>
    </w:p>
    <w:p>
      <w:pPr>
        <w:spacing w:after="0" w:line="23"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6"/>
          <w:szCs w:val="16"/>
          <w:color w:val="auto"/>
        </w:rPr>
        <w:t>Title: Chief Executive Officer</w:t>
      </w:r>
    </w:p>
    <w:p>
      <w:pPr>
        <w:sectPr>
          <w:pgSz w:w="11900" w:h="16838" w:orient="portrait"/>
          <w:cols w:equalWidth="0" w:num="1">
            <w:col w:w="11280"/>
          </w:cols>
          <w:pgMar w:left="300" w:top="1010" w:right="319" w:bottom="1440"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7"/>
          <w:szCs w:val="17"/>
          <w:b w:val="1"/>
          <w:bCs w:val="1"/>
          <w:color w:val="auto"/>
        </w:rPr>
        <w:t>AMENDMENT NUMBER ONE TO THE</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MOLINA HEALTHCARE,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2025 EQUITY INCENTIVE PLAN</w:t>
      </w:r>
    </w:p>
    <w:p>
      <w:pPr>
        <w:spacing w:after="0" w:line="200" w:lineRule="exact"/>
        <w:rPr>
          <w:sz w:val="20"/>
          <w:szCs w:val="20"/>
          <w:color w:val="auto"/>
        </w:rPr>
      </w:pPr>
    </w:p>
    <w:p>
      <w:pPr>
        <w:spacing w:after="0" w:line="2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Molina Healthcare, Inc. adopts the following amendment to the Molina Healthcare, Inc. 2025 Equity Incentive Plan (the “Plan”), effective May 6, 2026.</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Unless otherwise defined herein, any capitalized terms shall have the meaning set forth in the Plan.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Section 4.1 of the Plan is hereby amended and restated in its entirety as follows:</w:t>
      </w:r>
    </w:p>
    <w:p>
      <w:pPr>
        <w:spacing w:after="0" w:line="98" w:lineRule="exact"/>
        <w:rPr>
          <w:sz w:val="20"/>
          <w:szCs w:val="20"/>
          <w:color w:val="auto"/>
        </w:rPr>
      </w:pPr>
    </w:p>
    <w:p>
      <w:pPr>
        <w:jc w:val="both"/>
        <w:ind w:left="840" w:hanging="317"/>
        <w:spacing w:after="0" w:line="258" w:lineRule="auto"/>
        <w:rPr>
          <w:sz w:val="20"/>
          <w:szCs w:val="20"/>
          <w:color w:val="auto"/>
        </w:rPr>
      </w:pPr>
      <w:r>
        <w:rPr>
          <w:rFonts w:ascii="Times New Roman" w:cs="Times New Roman" w:eastAsia="Times New Roman" w:hAnsi="Times New Roman"/>
          <w:sz w:val="17"/>
          <w:szCs w:val="17"/>
          <w:color w:val="auto"/>
        </w:rPr>
        <w:t xml:space="preserve">4.1 </w:t>
      </w:r>
      <w:r>
        <w:rPr>
          <w:rFonts w:ascii="Times New Roman" w:cs="Times New Roman" w:eastAsia="Times New Roman" w:hAnsi="Times New Roman"/>
          <w:sz w:val="17"/>
          <w:szCs w:val="17"/>
          <w:b w:val="1"/>
          <w:bCs w:val="1"/>
          <w:color w:val="auto"/>
        </w:rPr>
        <w:t>Maximum Number of Shares Issuable.</w:t>
      </w:r>
      <w:r>
        <w:rPr>
          <w:rFonts w:ascii="Times New Roman" w:cs="Times New Roman" w:eastAsia="Times New Roman" w:hAnsi="Times New Roman"/>
          <w:sz w:val="17"/>
          <w:szCs w:val="17"/>
          <w:color w:val="auto"/>
        </w:rPr>
        <w:t xml:space="preserve"> Subject to adjustment as provided in Section 4.4, 3,295,000 shares of Stock shall initially be available for all Awards under the Plan, less one (1) share for every one (1) share granted under a Prior Plan after December 31, 2024. After April 30, 2025, no awards may be granted under a Prior Plan; however, any awards under a Prior Plan that are outstanding as of April 30, 2025 shall remain subject to the terms and conditions of, and continue to be governed by, such Prior Plan.</w:t>
      </w:r>
    </w:p>
    <w:p>
      <w:pPr>
        <w:spacing w:after="0" w:line="267" w:lineRule="exact"/>
        <w:rPr>
          <w:sz w:val="20"/>
          <w:szCs w:val="20"/>
          <w:color w:val="auto"/>
        </w:rPr>
      </w:pPr>
    </w:p>
    <w:p>
      <w:pPr>
        <w:ind w:left="180" w:hanging="175"/>
        <w:spacing w:after="0"/>
        <w:tabs>
          <w:tab w:leader="none" w:pos="1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5.3(a)(i) of the Plan is hereby amended and restated in its entirety as follows:</w:t>
      </w:r>
    </w:p>
    <w:p>
      <w:pPr>
        <w:spacing w:after="0" w:line="97" w:lineRule="exact"/>
        <w:rPr>
          <w:rFonts w:ascii="Times New Roman" w:cs="Times New Roman" w:eastAsia="Times New Roman" w:hAnsi="Times New Roman"/>
          <w:sz w:val="17"/>
          <w:szCs w:val="17"/>
          <w:color w:val="auto"/>
        </w:rPr>
      </w:pPr>
    </w:p>
    <w:p>
      <w:pPr>
        <w:jc w:val="both"/>
        <w:ind w:left="840" w:hanging="326"/>
        <w:spacing w:after="0" w:line="258" w:lineRule="auto"/>
        <w:tabs>
          <w:tab w:leader="none" w:pos="83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Maximum Number of Shares Issuable Pursuant to Incentive Stock Options. </w:t>
      </w:r>
      <w:r>
        <w:rPr>
          <w:rFonts w:ascii="Times New Roman" w:cs="Times New Roman" w:eastAsia="Times New Roman" w:hAnsi="Times New Roman"/>
          <w:sz w:val="17"/>
          <w:szCs w:val="17"/>
          <w:color w:val="auto"/>
        </w:rPr>
        <w:t>Subject to adjustment as provided in Section 4.4, the maximum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aggregate number of shares of Stock that may be issued under the Plan pursuant to the exercise of Incentive Stock Options shall not exceed 3,295,000. The maximum aggregate number of shares of Stock that may be issued under the Plan pursuant to all Awards other than Incentive Stock Options shall be the number of shares determined in accordance with Section 4.1.</w:t>
      </w:r>
    </w:p>
    <w:p>
      <w:pPr>
        <w:spacing w:after="0" w:line="266" w:lineRule="exact"/>
        <w:rPr>
          <w:rFonts w:ascii="Times New Roman" w:cs="Times New Roman" w:eastAsia="Times New Roman" w:hAnsi="Times New Roman"/>
          <w:sz w:val="17"/>
          <w:szCs w:val="17"/>
          <w:color w:val="auto"/>
        </w:rPr>
      </w:pPr>
    </w:p>
    <w:p>
      <w:pPr>
        <w:ind w:left="180" w:hanging="175"/>
        <w:spacing w:after="0"/>
        <w:tabs>
          <w:tab w:leader="none" w:pos="1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other provisions of the Plan shall remain unchanged and in full force and effect.</w:t>
      </w:r>
    </w:p>
    <w:p>
      <w:pPr>
        <w:spacing w:after="0" w:line="102" w:lineRule="exact"/>
        <w:rPr>
          <w:sz w:val="20"/>
          <w:szCs w:val="20"/>
          <w:color w:val="auto"/>
        </w:rPr>
      </w:pPr>
    </w:p>
    <w:p>
      <w:pPr>
        <w:ind w:right="160"/>
        <w:spacing w:after="0" w:line="276" w:lineRule="auto"/>
        <w:rPr>
          <w:sz w:val="20"/>
          <w:szCs w:val="20"/>
          <w:color w:val="auto"/>
        </w:rPr>
      </w:pPr>
      <w:r>
        <w:rPr>
          <w:rFonts w:ascii="Times New Roman" w:cs="Times New Roman" w:eastAsia="Times New Roman" w:hAnsi="Times New Roman"/>
          <w:sz w:val="17"/>
          <w:szCs w:val="17"/>
          <w:color w:val="auto"/>
        </w:rPr>
        <w:t>IN WITNESS WHEREOF, the undersigned has caused this Amendment Number One to the Molina Healthcare, Inc. 2025 Equity Incentive Plan to be executed this 6th day of May, 2026.</w:t>
      </w:r>
    </w:p>
    <w:p>
      <w:pPr>
        <w:spacing w:after="0" w:line="14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7"/>
          <w:szCs w:val="17"/>
          <w:color w:val="auto"/>
        </w:rPr>
        <w:t>MOLINA HEALTHCARE, INC.</w:t>
      </w:r>
    </w:p>
    <w:p>
      <w:pPr>
        <w:spacing w:after="0" w:line="200" w:lineRule="exact"/>
        <w:rPr>
          <w:sz w:val="20"/>
          <w:szCs w:val="20"/>
          <w:color w:val="auto"/>
        </w:rPr>
      </w:pPr>
    </w:p>
    <w:p>
      <w:pPr>
        <w:spacing w:after="0" w:line="37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Jeff D. Barlow</w:t>
      </w:r>
    </w:p>
    <w:p>
      <w:pPr>
        <w:spacing w:after="0" w:line="197"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7"/>
          <w:szCs w:val="17"/>
          <w:color w:val="auto"/>
        </w:rPr>
        <w:t>Name: Jeff D. Barlow</w:t>
      </w:r>
    </w:p>
    <w:p>
      <w:pPr>
        <w:spacing w:after="0" w:line="2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7"/>
          <w:szCs w:val="17"/>
          <w:color w:val="auto"/>
        </w:rPr>
        <w:t>Title: Corporate Secretary</w:t>
      </w:r>
    </w:p>
    <w:sectPr>
      <w:pgSz w:w="11900" w:h="16838" w:orient="portrait"/>
      <w:cols w:equalWidth="0" w:num="1">
        <w:col w:w="11280"/>
      </w:cols>
      <w:pgMar w:left="300" w:top="114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1."/>
      <w:numFmt w:val="decimal"/>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2026-05-11T08:05:02Z</dcterms:created>
  <dcterms:modified xsi:type="dcterms:W3CDTF">2026-05-11T08:05:02Z</dcterms:modified>
</cp:coreProperties>
</file>