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May 27, 2026</w:t>
      </w:r>
    </w:p>
    <w:p>
      <w:pPr>
        <w:spacing w:after="0" w:line="11"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1862455</wp:posOffset>
            </wp:positionH>
            <wp:positionV relativeFrom="paragraph">
              <wp:posOffset>38735</wp:posOffset>
            </wp:positionV>
            <wp:extent cx="34359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5985" cy="698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S-8</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1856105</wp:posOffset>
            </wp:positionH>
            <wp:positionV relativeFrom="paragraph">
              <wp:posOffset>73660</wp:posOffset>
            </wp:positionV>
            <wp:extent cx="34226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2650" cy="698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MOLINA HEALTHCARE,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9" w:lineRule="exact"/>
        <w:rPr>
          <w:sz w:val="24"/>
          <w:szCs w:val="24"/>
          <w:color w:val="auto"/>
        </w:rPr>
      </w:pPr>
    </w:p>
    <w:tbl>
      <w:tblPr>
        <w:tblLayout w:type="fixed"/>
        <w:tblInd w:w="2940" w:type="dxa"/>
        <w:tblCellMar>
          <w:top w:w="0" w:type="dxa"/>
          <w:left w:w="0" w:type="dxa"/>
          <w:bottom w:w="0" w:type="dxa"/>
          <w:right w:w="0" w:type="dxa"/>
        </w:tblCellMar>
      </w:tblPr>
      <w:tr>
        <w:trPr>
          <w:trHeight w:val="170"/>
        </w:trPr>
        <w:tc>
          <w:tcPr>
            <w:tcW w:w="2880" w:type="dxa"/>
            <w:vAlign w:val="bottom"/>
          </w:tcPr>
          <w:p>
            <w:pPr>
              <w:jc w:val="center"/>
              <w:ind w:right="1176"/>
              <w:spacing w:after="0"/>
              <w:rPr>
                <w:sz w:val="20"/>
                <w:szCs w:val="20"/>
                <w:color w:val="auto"/>
              </w:rPr>
            </w:pPr>
            <w:r>
              <w:rPr>
                <w:rFonts w:ascii="Arial" w:cs="Arial" w:eastAsia="Arial" w:hAnsi="Arial"/>
                <w:sz w:val="13"/>
                <w:szCs w:val="13"/>
                <w:b w:val="1"/>
                <w:bCs w:val="1"/>
                <w:color w:val="auto"/>
                <w:w w:val="98"/>
              </w:rPr>
              <w:t>Delaware</w:t>
            </w:r>
          </w:p>
        </w:tc>
        <w:tc>
          <w:tcPr>
            <w:tcW w:w="2200" w:type="dxa"/>
            <w:vAlign w:val="bottom"/>
          </w:tcPr>
          <w:p>
            <w:pPr>
              <w:jc w:val="center"/>
              <w:ind w:left="1176"/>
              <w:spacing w:after="0"/>
              <w:rPr>
                <w:sz w:val="20"/>
                <w:szCs w:val="20"/>
                <w:color w:val="auto"/>
              </w:rPr>
            </w:pPr>
            <w:r>
              <w:rPr>
                <w:rFonts w:ascii="Arial" w:cs="Arial" w:eastAsia="Arial" w:hAnsi="Arial"/>
                <w:sz w:val="13"/>
                <w:szCs w:val="13"/>
                <w:b w:val="1"/>
                <w:bCs w:val="1"/>
                <w:color w:val="auto"/>
                <w:w w:val="97"/>
              </w:rPr>
              <w:t>13-4204626</w:t>
            </w:r>
          </w:p>
        </w:tc>
      </w:tr>
      <w:tr>
        <w:trPr>
          <w:trHeight w:val="127"/>
        </w:trPr>
        <w:tc>
          <w:tcPr>
            <w:tcW w:w="2880" w:type="dxa"/>
            <w:vAlign w:val="bottom"/>
          </w:tcPr>
          <w:p>
            <w:pPr>
              <w:jc w:val="center"/>
              <w:ind w:right="1156"/>
              <w:spacing w:after="0" w:line="128" w:lineRule="exact"/>
              <w:rPr>
                <w:sz w:val="20"/>
                <w:szCs w:val="20"/>
                <w:color w:val="auto"/>
              </w:rPr>
            </w:pPr>
            <w:r>
              <w:rPr>
                <w:rFonts w:ascii="Arial" w:cs="Arial" w:eastAsia="Arial" w:hAnsi="Arial"/>
                <w:sz w:val="13"/>
                <w:szCs w:val="13"/>
                <w:color w:val="auto"/>
                <w:w w:val="97"/>
              </w:rPr>
              <w:t>(State or other jurisdiction of</w:t>
            </w:r>
          </w:p>
        </w:tc>
        <w:tc>
          <w:tcPr>
            <w:tcW w:w="2200" w:type="dxa"/>
            <w:vAlign w:val="bottom"/>
          </w:tcPr>
          <w:p>
            <w:pPr>
              <w:jc w:val="center"/>
              <w:ind w:left="1156"/>
              <w:spacing w:after="0" w:line="128" w:lineRule="exact"/>
              <w:rPr>
                <w:sz w:val="20"/>
                <w:szCs w:val="20"/>
                <w:color w:val="auto"/>
              </w:rPr>
            </w:pPr>
            <w:r>
              <w:rPr>
                <w:rFonts w:ascii="Arial" w:cs="Arial" w:eastAsia="Arial" w:hAnsi="Arial"/>
                <w:sz w:val="13"/>
                <w:szCs w:val="13"/>
                <w:color w:val="auto"/>
                <w:w w:val="98"/>
              </w:rPr>
              <w:t>(I.R.S. Employer</w:t>
            </w:r>
          </w:p>
        </w:tc>
      </w:tr>
      <w:tr>
        <w:trPr>
          <w:trHeight w:val="167"/>
        </w:trPr>
        <w:tc>
          <w:tcPr>
            <w:tcW w:w="2880" w:type="dxa"/>
            <w:vAlign w:val="bottom"/>
          </w:tcPr>
          <w:p>
            <w:pPr>
              <w:jc w:val="center"/>
              <w:ind w:right="1156"/>
              <w:spacing w:after="0"/>
              <w:rPr>
                <w:sz w:val="20"/>
                <w:szCs w:val="20"/>
                <w:color w:val="auto"/>
              </w:rPr>
            </w:pPr>
            <w:r>
              <w:rPr>
                <w:rFonts w:ascii="Arial" w:cs="Arial" w:eastAsia="Arial" w:hAnsi="Arial"/>
                <w:sz w:val="13"/>
                <w:szCs w:val="13"/>
                <w:color w:val="auto"/>
                <w:w w:val="98"/>
              </w:rPr>
              <w:t>incorporation or organization)</w:t>
            </w:r>
          </w:p>
        </w:tc>
        <w:tc>
          <w:tcPr>
            <w:tcW w:w="2200" w:type="dxa"/>
            <w:vAlign w:val="bottom"/>
          </w:tcPr>
          <w:p>
            <w:pPr>
              <w:jc w:val="center"/>
              <w:ind w:left="1156"/>
              <w:spacing w:after="0"/>
              <w:rPr>
                <w:sz w:val="20"/>
                <w:szCs w:val="20"/>
                <w:color w:val="auto"/>
              </w:rPr>
            </w:pPr>
            <w:r>
              <w:rPr>
                <w:rFonts w:ascii="Arial" w:cs="Arial" w:eastAsia="Arial" w:hAnsi="Arial"/>
                <w:sz w:val="13"/>
                <w:szCs w:val="13"/>
                <w:color w:val="auto"/>
                <w:w w:val="96"/>
              </w:rPr>
              <w:t>Identification No.)</w:t>
            </w:r>
          </w:p>
        </w:tc>
      </w:tr>
    </w:tbl>
    <w:p>
      <w:pPr>
        <w:spacing w:after="0" w:line="98" w:lineRule="exact"/>
        <w:rPr>
          <w:sz w:val="24"/>
          <w:szCs w:val="24"/>
          <w:color w:val="auto"/>
        </w:rPr>
      </w:pPr>
    </w:p>
    <w:p>
      <w:pPr>
        <w:ind w:left="4880"/>
        <w:spacing w:after="0"/>
        <w:rPr>
          <w:sz w:val="20"/>
          <w:szCs w:val="20"/>
          <w:color w:val="auto"/>
        </w:rPr>
      </w:pPr>
      <w:r>
        <w:rPr>
          <w:rFonts w:ascii="Arial" w:cs="Arial" w:eastAsia="Arial" w:hAnsi="Arial"/>
          <w:sz w:val="13"/>
          <w:szCs w:val="13"/>
          <w:b w:val="1"/>
          <w:bCs w:val="1"/>
          <w:color w:val="auto"/>
        </w:rPr>
        <w:t>200 Oceangate, Suite 100</w:t>
      </w:r>
    </w:p>
    <w:p>
      <w:pPr>
        <w:spacing w:after="0" w:line="24" w:lineRule="exact"/>
        <w:rPr>
          <w:sz w:val="24"/>
          <w:szCs w:val="24"/>
          <w:color w:val="auto"/>
        </w:rPr>
      </w:pPr>
    </w:p>
    <w:p>
      <w:pPr>
        <w:ind w:left="5000"/>
        <w:spacing w:after="0"/>
        <w:rPr>
          <w:sz w:val="20"/>
          <w:szCs w:val="20"/>
          <w:color w:val="auto"/>
        </w:rPr>
      </w:pPr>
      <w:r>
        <w:rPr>
          <w:rFonts w:ascii="Arial" w:cs="Arial" w:eastAsia="Arial" w:hAnsi="Arial"/>
          <w:sz w:val="13"/>
          <w:szCs w:val="13"/>
          <w:b w:val="1"/>
          <w:bCs w:val="1"/>
          <w:color w:val="auto"/>
        </w:rPr>
        <w:t>Long Beach, California</w:t>
      </w:r>
    </w:p>
    <w:p>
      <w:pPr>
        <w:spacing w:after="0" w:line="20" w:lineRule="exact"/>
        <w:rPr>
          <w:sz w:val="24"/>
          <w:szCs w:val="24"/>
          <w:color w:val="auto"/>
        </w:rPr>
      </w:pPr>
    </w:p>
    <w:p>
      <w:pPr>
        <w:ind w:left="5200"/>
        <w:spacing w:after="0"/>
        <w:rPr>
          <w:sz w:val="20"/>
          <w:szCs w:val="20"/>
          <w:color w:val="auto"/>
        </w:rPr>
      </w:pPr>
      <w:r>
        <w:rPr>
          <w:rFonts w:ascii="Arial" w:cs="Arial" w:eastAsia="Arial" w:hAnsi="Arial"/>
          <w:sz w:val="13"/>
          <w:szCs w:val="13"/>
          <w:b w:val="1"/>
          <w:bCs w:val="1"/>
          <w:color w:val="auto"/>
        </w:rPr>
        <w:t>(562) 435-3666</w:t>
      </w:r>
    </w:p>
    <w:p>
      <w:pPr>
        <w:spacing w:after="0" w:line="20" w:lineRule="exact"/>
        <w:rPr>
          <w:sz w:val="24"/>
          <w:szCs w:val="24"/>
          <w:color w:val="auto"/>
        </w:rPr>
      </w:pPr>
    </w:p>
    <w:p>
      <w:pPr>
        <w:ind w:left="4000"/>
        <w:spacing w:after="0"/>
        <w:rPr>
          <w:sz w:val="20"/>
          <w:szCs w:val="20"/>
          <w:color w:val="auto"/>
        </w:rPr>
      </w:pPr>
      <w:r>
        <w:rPr>
          <w:rFonts w:ascii="Arial" w:cs="Arial" w:eastAsia="Arial" w:hAnsi="Arial"/>
          <w:sz w:val="13"/>
          <w:szCs w:val="13"/>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1842135</wp:posOffset>
            </wp:positionH>
            <wp:positionV relativeFrom="paragraph">
              <wp:posOffset>91440</wp:posOffset>
            </wp:positionV>
            <wp:extent cx="34766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6625" cy="698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Molina Healthcare, Inc. 2025 Equity Incentive Plan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1842135</wp:posOffset>
            </wp:positionH>
            <wp:positionV relativeFrom="paragraph">
              <wp:posOffset>45720</wp:posOffset>
            </wp:positionV>
            <wp:extent cx="34766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6625" cy="6985"/>
                    </a:xfrm>
                    <a:prstGeom prst="rect">
                      <a:avLst/>
                    </a:prstGeom>
                    <a:noFill/>
                  </pic:spPr>
                </pic:pic>
              </a:graphicData>
            </a:graphic>
          </wp:anchor>
        </w:drawing>
      </w:r>
    </w:p>
    <w:p>
      <w:pPr>
        <w:spacing w:after="0" w:line="116" w:lineRule="exact"/>
        <w:rPr>
          <w:sz w:val="24"/>
          <w:szCs w:val="24"/>
          <w:color w:val="auto"/>
        </w:rPr>
      </w:pPr>
    </w:p>
    <w:p>
      <w:pPr>
        <w:ind w:left="5060"/>
        <w:spacing w:after="0"/>
        <w:rPr>
          <w:sz w:val="20"/>
          <w:szCs w:val="20"/>
          <w:color w:val="auto"/>
        </w:rPr>
      </w:pPr>
      <w:r>
        <w:rPr>
          <w:rFonts w:ascii="Arial" w:cs="Arial" w:eastAsia="Arial" w:hAnsi="Arial"/>
          <w:sz w:val="13"/>
          <w:szCs w:val="13"/>
          <w:b w:val="1"/>
          <w:bCs w:val="1"/>
          <w:color w:val="auto"/>
        </w:rPr>
        <w:t>Jeff D. Barlow, Esq.</w:t>
      </w:r>
    </w:p>
    <w:p>
      <w:pPr>
        <w:spacing w:after="0" w:line="21" w:lineRule="exact"/>
        <w:rPr>
          <w:sz w:val="24"/>
          <w:szCs w:val="24"/>
          <w:color w:val="auto"/>
        </w:rPr>
      </w:pPr>
    </w:p>
    <w:p>
      <w:pPr>
        <w:ind w:left="5080"/>
        <w:spacing w:after="0"/>
        <w:rPr>
          <w:sz w:val="20"/>
          <w:szCs w:val="20"/>
          <w:color w:val="auto"/>
        </w:rPr>
      </w:pPr>
      <w:r>
        <w:rPr>
          <w:rFonts w:ascii="Arial" w:cs="Arial" w:eastAsia="Arial" w:hAnsi="Arial"/>
          <w:sz w:val="13"/>
          <w:szCs w:val="13"/>
          <w:b w:val="1"/>
          <w:bCs w:val="1"/>
          <w:color w:val="auto"/>
        </w:rPr>
        <w:t>Chief Legal Officer</w:t>
      </w:r>
    </w:p>
    <w:p>
      <w:pPr>
        <w:ind w:left="5220"/>
        <w:spacing w:after="0"/>
        <w:rPr>
          <w:sz w:val="20"/>
          <w:szCs w:val="20"/>
          <w:color w:val="auto"/>
        </w:rPr>
      </w:pPr>
      <w:r>
        <w:rPr>
          <w:rFonts w:ascii="Arial" w:cs="Arial" w:eastAsia="Arial" w:hAnsi="Arial"/>
          <w:sz w:val="13"/>
          <w:szCs w:val="13"/>
          <w:b w:val="1"/>
          <w:bCs w:val="1"/>
          <w:color w:val="auto"/>
        </w:rPr>
        <w:t>and Secretary</w:t>
      </w:r>
    </w:p>
    <w:p>
      <w:pPr>
        <w:spacing w:after="0" w:line="9" w:lineRule="exact"/>
        <w:rPr>
          <w:sz w:val="24"/>
          <w:szCs w:val="24"/>
          <w:color w:val="auto"/>
        </w:rPr>
      </w:pPr>
    </w:p>
    <w:p>
      <w:pPr>
        <w:ind w:left="4960"/>
        <w:spacing w:after="0"/>
        <w:rPr>
          <w:sz w:val="20"/>
          <w:szCs w:val="20"/>
          <w:color w:val="auto"/>
        </w:rPr>
      </w:pPr>
      <w:r>
        <w:rPr>
          <w:rFonts w:ascii="Arial" w:cs="Arial" w:eastAsia="Arial" w:hAnsi="Arial"/>
          <w:sz w:val="13"/>
          <w:szCs w:val="13"/>
          <w:b w:val="1"/>
          <w:bCs w:val="1"/>
          <w:color w:val="auto"/>
        </w:rPr>
        <w:t>Molina Healthcare, Inc.</w:t>
      </w:r>
    </w:p>
    <w:p>
      <w:pPr>
        <w:jc w:val="center"/>
        <w:spacing w:after="0"/>
        <w:rPr>
          <w:sz w:val="20"/>
          <w:szCs w:val="20"/>
          <w:color w:val="auto"/>
        </w:rPr>
      </w:pPr>
      <w:r>
        <w:rPr>
          <w:rFonts w:ascii="Arial" w:cs="Arial" w:eastAsia="Arial" w:hAnsi="Arial"/>
          <w:sz w:val="13"/>
          <w:szCs w:val="13"/>
          <w:b w:val="1"/>
          <w:bCs w:val="1"/>
          <w:color w:val="auto"/>
        </w:rPr>
        <w:t>200 Oceangate, Suite 100</w:t>
      </w:r>
    </w:p>
    <w:p>
      <w:pPr>
        <w:jc w:val="center"/>
        <w:spacing w:after="0"/>
        <w:rPr>
          <w:sz w:val="20"/>
          <w:szCs w:val="20"/>
          <w:color w:val="auto"/>
        </w:rPr>
      </w:pPr>
      <w:r>
        <w:rPr>
          <w:rFonts w:ascii="Arial" w:cs="Arial" w:eastAsia="Arial" w:hAnsi="Arial"/>
          <w:sz w:val="13"/>
          <w:szCs w:val="13"/>
          <w:b w:val="1"/>
          <w:bCs w:val="1"/>
          <w:color w:val="auto"/>
        </w:rPr>
        <w:t>Long Beach, California 90802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(562) 435-3666</w:t>
      </w:r>
    </w:p>
    <w:p>
      <w:pPr>
        <w:jc w:val="center"/>
        <w:spacing w:after="0"/>
        <w:rPr>
          <w:sz w:val="20"/>
          <w:szCs w:val="20"/>
          <w:color w:val="auto"/>
        </w:rPr>
      </w:pPr>
      <w:r>
        <w:rPr>
          <w:rFonts w:ascii="Arial" w:cs="Arial" w:eastAsia="Arial" w:hAnsi="Arial"/>
          <w:sz w:val="13"/>
          <w:szCs w:val="13"/>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1842135</wp:posOffset>
            </wp:positionH>
            <wp:positionV relativeFrom="paragraph">
              <wp:posOffset>99695</wp:posOffset>
            </wp:positionV>
            <wp:extent cx="34766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6625" cy="698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Copy 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David Zaheer</w:t>
      </w:r>
    </w:p>
    <w:p>
      <w:pPr>
        <w:jc w:val="center"/>
        <w:spacing w:after="0"/>
        <w:rPr>
          <w:sz w:val="20"/>
          <w:szCs w:val="20"/>
          <w:color w:val="auto"/>
        </w:rPr>
      </w:pPr>
      <w:r>
        <w:rPr>
          <w:rFonts w:ascii="Arial" w:cs="Arial" w:eastAsia="Arial" w:hAnsi="Arial"/>
          <w:sz w:val="13"/>
          <w:szCs w:val="13"/>
          <w:b w:val="1"/>
          <w:bCs w:val="1"/>
          <w:color w:val="auto"/>
        </w:rPr>
        <w:t>Jenna B. Cooper</w:t>
      </w:r>
    </w:p>
    <w:p>
      <w:pPr>
        <w:jc w:val="center"/>
        <w:spacing w:after="0"/>
        <w:rPr>
          <w:sz w:val="20"/>
          <w:szCs w:val="20"/>
          <w:color w:val="auto"/>
        </w:rPr>
      </w:pPr>
      <w:r>
        <w:rPr>
          <w:rFonts w:ascii="Arial" w:cs="Arial" w:eastAsia="Arial" w:hAnsi="Arial"/>
          <w:sz w:val="13"/>
          <w:szCs w:val="13"/>
          <w:b w:val="1"/>
          <w:bCs w:val="1"/>
          <w:color w:val="auto"/>
        </w:rPr>
        <w:t>10250 Constellation Blvd., Suite 1100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Los Angeles, CA 90067</w:t>
      </w:r>
    </w:p>
    <w:p>
      <w:pPr>
        <w:jc w:val="center"/>
        <w:spacing w:after="0"/>
        <w:rPr>
          <w:sz w:val="20"/>
          <w:szCs w:val="20"/>
          <w:color w:val="auto"/>
        </w:rPr>
      </w:pPr>
      <w:r>
        <w:rPr>
          <w:rFonts w:ascii="Arial" w:cs="Arial" w:eastAsia="Arial" w:hAnsi="Arial"/>
          <w:sz w:val="13"/>
          <w:szCs w:val="13"/>
          <w:b w:val="1"/>
          <w:bCs w:val="1"/>
          <w:color w:val="auto"/>
        </w:rPr>
        <w:t>(424) 653-5500</w:t>
      </w:r>
    </w:p>
    <w:p>
      <w:pPr>
        <w:spacing w:after="0" w:line="200" w:lineRule="exact"/>
        <w:rPr>
          <w:sz w:val="24"/>
          <w:szCs w:val="24"/>
          <w:color w:val="auto"/>
        </w:rPr>
      </w:pPr>
    </w:p>
    <w:p>
      <w:pPr>
        <w:spacing w:after="0" w:line="222" w:lineRule="exact"/>
        <w:rPr>
          <w:sz w:val="24"/>
          <w:szCs w:val="24"/>
          <w:color w:val="auto"/>
        </w:rPr>
      </w:pPr>
    </w:p>
    <w:p>
      <w:pPr>
        <w:ind w:right="100"/>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819" w:right="319" w:bottom="1440" w:gutter="0" w:footer="0" w:header="0"/>
        </w:sectPr>
      </w:pPr>
    </w:p>
    <w:p>
      <w:pPr>
        <w:spacing w:after="0" w:line="242" w:lineRule="exact"/>
        <w:rPr>
          <w:sz w:val="24"/>
          <w:szCs w:val="24"/>
          <w:color w:val="auto"/>
        </w:rPr>
      </w:pPr>
    </w:p>
    <w:p>
      <w:pPr>
        <w:ind w:left="1020"/>
        <w:spacing w:after="0"/>
        <w:rPr>
          <w:sz w:val="20"/>
          <w:szCs w:val="20"/>
          <w:color w:val="auto"/>
        </w:rPr>
      </w:pPr>
      <w:r>
        <w:rPr>
          <w:rFonts w:ascii="Arial" w:cs="Arial" w:eastAsia="Arial" w:hAnsi="Arial"/>
          <w:sz w:val="13"/>
          <w:szCs w:val="13"/>
          <w:color w:val="auto"/>
        </w:rPr>
        <w:t>L</w:t>
      </w:r>
      <w:r>
        <w:rPr>
          <w:rFonts w:ascii="Arial" w:cs="Arial" w:eastAsia="Arial" w:hAnsi="Arial"/>
          <w:sz w:val="11"/>
          <w:szCs w:val="11"/>
          <w:color w:val="auto"/>
        </w:rPr>
        <w:t>arge Accelerated Filer</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234" w:lineRule="exact"/>
        <w:rPr>
          <w:sz w:val="24"/>
          <w:szCs w:val="24"/>
          <w:color w:val="auto"/>
        </w:rPr>
      </w:pPr>
    </w:p>
    <w:p>
      <w:pPr>
        <w:sectPr>
          <w:pgSz w:w="11900" w:h="16838" w:orient="portrait"/>
          <w:cols w:equalWidth="0" w:num="3">
            <w:col w:w="2200" w:space="60"/>
            <w:col w:w="100" w:space="620"/>
            <w:col w:w="8300"/>
          </w:cols>
          <w:pgMar w:left="300" w:top="819" w:right="319" w:bottom="1440" w:gutter="0" w:footer="0" w:header="0"/>
          <w:type w:val="continuous"/>
        </w:sectPr>
      </w:pPr>
    </w:p>
    <w:p>
      <w:pPr>
        <w:spacing w:after="0" w:line="21" w:lineRule="exact"/>
        <w:rPr>
          <w:sz w:val="24"/>
          <w:szCs w:val="24"/>
          <w:color w:val="auto"/>
        </w:rPr>
      </w:pPr>
    </w:p>
    <w:p>
      <w:pPr>
        <w:ind w:left="102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200" w:lineRule="exact"/>
        <w:rPr>
          <w:sz w:val="24"/>
          <w:szCs w:val="24"/>
          <w:color w:val="auto"/>
        </w:rPr>
      </w:pPr>
    </w:p>
    <w:p>
      <w:pPr>
        <w:sectPr>
          <w:pgSz w:w="11900" w:h="16838" w:orient="portrait"/>
          <w:cols w:equalWidth="0" w:num="2">
            <w:col w:w="2240" w:space="620"/>
            <w:col w:w="8420"/>
          </w:cols>
          <w:pgMar w:left="300" w:top="819" w:right="319" w:bottom="1440" w:gutter="0" w:footer="0" w:header="0"/>
          <w:type w:val="continuous"/>
        </w:sectPr>
      </w:pPr>
    </w:p>
    <w:p>
      <w:pPr>
        <w:spacing w:after="0" w:line="183" w:lineRule="exact"/>
        <w:rPr>
          <w:sz w:val="24"/>
          <w:szCs w:val="24"/>
          <w:color w:val="auto"/>
        </w:rPr>
      </w:pPr>
    </w:p>
    <w:p>
      <w:pPr>
        <w:ind w:left="408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11280"/>
          </w:cols>
          <w:pgMar w:left="300" w:top="819" w:right="319" w:bottom="1440" w:gutter="0" w:footer="0" w:header="0"/>
          <w:type w:val="continuous"/>
        </w:sectPr>
      </w:pPr>
    </w:p>
    <w:p>
      <w:pPr>
        <w:spacing w:after="0" w:line="310" w:lineRule="exact"/>
        <w:rPr>
          <w:sz w:val="24"/>
          <w:szCs w:val="24"/>
          <w:color w:val="auto"/>
        </w:rPr>
      </w:pPr>
    </w:p>
    <w:p>
      <w:pPr>
        <w:ind w:right="360"/>
        <w:spacing w:after="0" w:line="19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ectPr>
          <w:pgSz w:w="11900" w:h="16838" w:orient="portrait"/>
          <w:cols w:equalWidth="0" w:num="1">
            <w:col w:w="11280"/>
          </w:cols>
          <w:pgMar w:left="300" w:top="819"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Explanatory Note</w:t>
      </w:r>
    </w:p>
    <w:p>
      <w:pPr>
        <w:spacing w:after="0" w:line="115"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This Registration Statement on Form S-8 is being filed for the purpose of registering an additional 1,500,000 shares of common stock, par value $0.001 per share (the “Common Stock”), of Molina Healthcare, Inc. (the “Registrant”), reserved for issuance under the Registrant’s 2025 Equity Incentive Plan, as amended (the “2025 Plan”), pursuant to an amendment of the 2025 Plan that was approved by the Registrant’s stockholders on May 6, 2026. The additional shares registered pursuant to the 2025 Plan are of the same class as other securities relating to the 2025 Plan for which a Registration Statement on Form S-8 (No. 333-286908) is effective.</w:t>
      </w:r>
    </w:p>
    <w:p>
      <w:pPr>
        <w:spacing w:after="0" w:line="159" w:lineRule="exact"/>
        <w:rPr>
          <w:sz w:val="20"/>
          <w:szCs w:val="20"/>
          <w:color w:val="auto"/>
        </w:rPr>
      </w:pPr>
    </w:p>
    <w:p>
      <w:pPr>
        <w:ind w:right="160"/>
        <w:spacing w:after="0" w:line="274" w:lineRule="auto"/>
        <w:rPr>
          <w:sz w:val="20"/>
          <w:szCs w:val="20"/>
          <w:color w:val="auto"/>
        </w:rPr>
      </w:pPr>
      <w:r>
        <w:rPr>
          <w:rFonts w:ascii="Arial" w:cs="Arial" w:eastAsia="Arial" w:hAnsi="Arial"/>
          <w:sz w:val="14"/>
          <w:szCs w:val="14"/>
          <w:color w:val="auto"/>
        </w:rPr>
        <w:t>Pursuant to General Instruction E of Form S-8, the contents of the above-referenced prior registration statement are incorporated by reference herein to the extent not modified or superseded hereby or by any subsequently filed document, which is incorporated by reference herein or therein.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0" w:type="dxa"/>
            <w:vAlign w:val="bottom"/>
            <w:gridSpan w:val="7"/>
          </w:tcPr>
          <w:p>
            <w:pPr>
              <w:jc w:val="center"/>
              <w:ind w:right="4860"/>
              <w:spacing w:after="0"/>
              <w:rPr>
                <w:sz w:val="20"/>
                <w:szCs w:val="20"/>
                <w:color w:val="auto"/>
              </w:rPr>
            </w:pPr>
            <w:r>
              <w:rPr>
                <w:rFonts w:ascii="Arial" w:cs="Arial" w:eastAsia="Arial" w:hAnsi="Arial"/>
                <w:sz w:val="14"/>
                <w:szCs w:val="14"/>
                <w:b w:val="1"/>
                <w:bCs w:val="1"/>
                <w:color w:val="auto"/>
              </w:rPr>
              <w:t>PART II</w:t>
            </w:r>
          </w:p>
        </w:tc>
      </w:tr>
      <w:tr>
        <w:trPr>
          <w:trHeight w:val="255"/>
        </w:trPr>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40" w:type="dxa"/>
            <w:vAlign w:val="bottom"/>
            <w:gridSpan w:val="10"/>
          </w:tcPr>
          <w:p>
            <w:pPr>
              <w:jc w:val="center"/>
              <w:ind w:right="3420"/>
              <w:spacing w:after="0"/>
              <w:rPr>
                <w:sz w:val="20"/>
                <w:szCs w:val="20"/>
                <w:color w:val="auto"/>
              </w:rPr>
            </w:pPr>
            <w:r>
              <w:rPr>
                <w:rFonts w:ascii="Arial" w:cs="Arial" w:eastAsia="Arial" w:hAnsi="Arial"/>
                <w:sz w:val="14"/>
                <w:szCs w:val="14"/>
                <w:b w:val="1"/>
                <w:bCs w:val="1"/>
                <w:color w:val="auto"/>
              </w:rPr>
              <w:t>INFORMATION REQUIRED IN THE REGISTRATION STATEMENT</w:t>
            </w:r>
          </w:p>
        </w:tc>
      </w:tr>
      <w:tr>
        <w:trPr>
          <w:trHeight w:val="446"/>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Item 8. Exhibits.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1"/>
                <w:szCs w:val="11"/>
                <w:b w:val="1"/>
                <w:bCs w:val="1"/>
                <w:color w:val="auto"/>
              </w:rPr>
              <w:t>Exhibit Number</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7"/>
          </w:tcPr>
          <w:p>
            <w:pPr>
              <w:ind w:left="760"/>
              <w:spacing w:after="0"/>
              <w:rPr>
                <w:sz w:val="20"/>
                <w:szCs w:val="20"/>
                <w:color w:val="auto"/>
              </w:rPr>
            </w:pPr>
            <w:r>
              <w:rPr>
                <w:rFonts w:ascii="Arial" w:cs="Arial" w:eastAsia="Arial" w:hAnsi="Arial"/>
                <w:sz w:val="11"/>
                <w:szCs w:val="11"/>
                <w:b w:val="1"/>
                <w:bCs w:val="1"/>
                <w:color w:val="auto"/>
              </w:rPr>
              <w:t>Description of Exhibit</w:t>
            </w:r>
          </w:p>
        </w:tc>
      </w:tr>
      <w:tr>
        <w:trPr>
          <w:trHeight w:val="139"/>
        </w:trPr>
        <w:tc>
          <w:tcPr>
            <w:tcW w:w="20" w:type="dxa"/>
            <w:vAlign w:val="bottom"/>
          </w:tcPr>
          <w:p>
            <w:pPr>
              <w:spacing w:after="0"/>
              <w:rPr>
                <w:sz w:val="12"/>
                <w:szCs w:val="12"/>
                <w:color w:val="auto"/>
              </w:rPr>
            </w:pPr>
          </w:p>
        </w:tc>
        <w:tc>
          <w:tcPr>
            <w:tcW w:w="90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color w:val="auto"/>
              </w:rPr>
              <w:t>4.1</w:t>
            </w: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100" w:type="dxa"/>
            <w:vAlign w:val="bottom"/>
            <w:tcBorders>
              <w:top w:val="single" w:sz="8" w:color="auto"/>
            </w:tcBorders>
            <w:gridSpan w:val="15"/>
          </w:tcPr>
          <w:p>
            <w:pPr>
              <w:spacing w:after="0" w:line="139" w:lineRule="exact"/>
              <w:rPr>
                <w:rFonts w:ascii="Arial" w:cs="Arial" w:eastAsia="Arial" w:hAnsi="Arial"/>
                <w:sz w:val="14"/>
                <w:szCs w:val="14"/>
                <w:color w:val="0000FF"/>
              </w:rPr>
            </w:pPr>
            <w:hyperlink r:id="rId13">
              <w:r>
                <w:rPr>
                  <w:rFonts w:ascii="Arial" w:cs="Arial" w:eastAsia="Arial" w:hAnsi="Arial"/>
                  <w:sz w:val="14"/>
                  <w:szCs w:val="14"/>
                  <w:color w:val="0000FF"/>
                </w:rPr>
                <w:t>Certificate of Incorporation (incorporated by reference to Exhibit 3.2 to the Registration Statement on Form S-1 filed with the Commission on December 30,</w:t>
              </w:r>
            </w:hyperlink>
          </w:p>
        </w:tc>
      </w:tr>
      <w:tr>
        <w:trPr>
          <w:trHeight w:val="118"/>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r:id="rId13">
              <w:r>
                <w:rPr>
                  <w:rFonts w:ascii="Arial" w:cs="Arial" w:eastAsia="Arial" w:hAnsi="Arial"/>
                  <w:sz w:val="13"/>
                  <w:szCs w:val="13"/>
                  <w:color w:val="0000FF"/>
                </w:rPr>
                <w:t>2002).</w:t>
              </w:r>
            </w:hyperlink>
          </w:p>
        </w:tc>
        <w:tc>
          <w:tcPr>
            <w:tcW w:w="60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57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15"/>
          </w:tcPr>
          <w:p>
            <w:pPr>
              <w:spacing w:after="0"/>
              <w:rPr>
                <w:rFonts w:ascii="Arial" w:cs="Arial" w:eastAsia="Arial" w:hAnsi="Arial"/>
                <w:sz w:val="14"/>
                <w:szCs w:val="14"/>
                <w:color w:val="0000FF"/>
              </w:rPr>
            </w:pPr>
            <w:hyperlink r:id="rId14">
              <w:r>
                <w:rPr>
                  <w:rFonts w:ascii="Arial" w:cs="Arial" w:eastAsia="Arial" w:hAnsi="Arial"/>
                  <w:sz w:val="14"/>
                  <w:szCs w:val="14"/>
                  <w:color w:val="0000FF"/>
                </w:rPr>
                <w:t>Certificate of Amendment to Certificate of Incorporation (incorporated by reference to Exhibit 3.2 to the Registrant’s Annual Report on Form 10-K filed with the</w:t>
              </w:r>
            </w:hyperlink>
          </w:p>
        </w:tc>
      </w:tr>
      <w:tr>
        <w:trPr>
          <w:trHeight w:val="118"/>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14">
              <w:r>
                <w:rPr>
                  <w:rFonts w:ascii="Arial" w:cs="Arial" w:eastAsia="Arial" w:hAnsi="Arial"/>
                  <w:sz w:val="13"/>
                  <w:szCs w:val="13"/>
                  <w:color w:val="0000FF"/>
                </w:rPr>
                <w:t>Commission on February 13, 2024).</w:t>
              </w:r>
            </w:hyperlink>
          </w:p>
        </w:tc>
        <w:tc>
          <w:tcPr>
            <w:tcW w:w="7580" w:type="dxa"/>
            <w:vAlign w:val="bottom"/>
            <w:tcBorders>
              <w:top w:val="single" w:sz="8" w:color="0000FF"/>
            </w:tcBorders>
            <w:gridSpan w:val="8"/>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15"/>
          </w:tcPr>
          <w:p>
            <w:pPr>
              <w:spacing w:after="0"/>
              <w:rPr>
                <w:rFonts w:ascii="Arial" w:cs="Arial" w:eastAsia="Arial" w:hAnsi="Arial"/>
                <w:sz w:val="14"/>
                <w:szCs w:val="14"/>
                <w:color w:val="0000FF"/>
              </w:rPr>
            </w:pPr>
            <w:hyperlink r:id="rId15">
              <w:r>
                <w:rPr>
                  <w:rFonts w:ascii="Arial" w:cs="Arial" w:eastAsia="Arial" w:hAnsi="Arial"/>
                  <w:sz w:val="14"/>
                  <w:szCs w:val="14"/>
                  <w:color w:val="0000FF"/>
                </w:rPr>
                <w:t>Certificate of Amendment to Certificate of Incorporation (incorporated by reference to Exhibit 3.3 to the Registrant’s Annual Report on Form 10-K filed with the</w:t>
              </w:r>
            </w:hyperlink>
          </w:p>
        </w:tc>
      </w:tr>
      <w:tr>
        <w:trPr>
          <w:trHeight w:val="118"/>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15">
              <w:r>
                <w:rPr>
                  <w:rFonts w:ascii="Arial" w:cs="Arial" w:eastAsia="Arial" w:hAnsi="Arial"/>
                  <w:sz w:val="13"/>
                  <w:szCs w:val="13"/>
                  <w:color w:val="0000FF"/>
                </w:rPr>
                <w:t>Commission on February 13, 2024).</w:t>
              </w:r>
            </w:hyperlink>
          </w:p>
        </w:tc>
        <w:tc>
          <w:tcPr>
            <w:tcW w:w="7580" w:type="dxa"/>
            <w:vAlign w:val="bottom"/>
            <w:tcBorders>
              <w:top w:val="single" w:sz="8" w:color="0000FF"/>
            </w:tcBorders>
            <w:gridSpan w:val="8"/>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4.4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15"/>
          </w:tcPr>
          <w:p>
            <w:pPr>
              <w:spacing w:after="0"/>
              <w:rPr>
                <w:rFonts w:ascii="Arial" w:cs="Arial" w:eastAsia="Arial" w:hAnsi="Arial"/>
                <w:sz w:val="14"/>
                <w:szCs w:val="14"/>
                <w:color w:val="0000FF"/>
              </w:rPr>
            </w:pPr>
            <w:hyperlink r:id="rId16">
              <w:r>
                <w:rPr>
                  <w:rFonts w:ascii="Arial" w:cs="Arial" w:eastAsia="Arial" w:hAnsi="Arial"/>
                  <w:sz w:val="14"/>
                  <w:szCs w:val="14"/>
                  <w:color w:val="0000FF"/>
                </w:rPr>
                <w:t>Certificate of Amendment to Certificate of Incorporation (incorporated by reference to Exhibit 3.1 to the Registrant's Current Report on Form 8-K filed with the</w:t>
              </w:r>
            </w:hyperlink>
          </w:p>
        </w:tc>
      </w:tr>
      <w:tr>
        <w:trPr>
          <w:trHeight w:val="118"/>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0" w:type="dxa"/>
            <w:vAlign w:val="bottom"/>
            <w:tcBorders>
              <w:top w:val="single" w:sz="8" w:color="0000FF"/>
            </w:tcBorders>
            <w:gridSpan w:val="12"/>
          </w:tcPr>
          <w:p>
            <w:pPr>
              <w:spacing w:after="0" w:line="118" w:lineRule="exact"/>
              <w:rPr>
                <w:rFonts w:ascii="Arial" w:cs="Arial" w:eastAsia="Arial" w:hAnsi="Arial"/>
                <w:sz w:val="13"/>
                <w:szCs w:val="13"/>
                <w:color w:val="0000FF"/>
              </w:rPr>
            </w:pPr>
            <w:hyperlink r:id="rId16">
              <w:r>
                <w:rPr>
                  <w:rFonts w:ascii="Arial" w:cs="Arial" w:eastAsia="Arial" w:hAnsi="Arial"/>
                  <w:sz w:val="13"/>
                  <w:szCs w:val="13"/>
                  <w:color w:val="0000FF"/>
                </w:rPr>
                <w:t>Commission on May 11, 2026).</w:t>
              </w:r>
            </w:hyperlink>
          </w:p>
        </w:tc>
        <w:tc>
          <w:tcPr>
            <w:tcW w:w="1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1"/>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15"/>
          </w:tcPr>
          <w:p>
            <w:pPr>
              <w:spacing w:after="0"/>
              <w:rPr>
                <w:rFonts w:ascii="Arial" w:cs="Arial" w:eastAsia="Arial" w:hAnsi="Arial"/>
                <w:sz w:val="14"/>
                <w:szCs w:val="14"/>
                <w:color w:val="0000FF"/>
              </w:rPr>
            </w:pPr>
            <w:hyperlink r:id="rId17">
              <w:r>
                <w:rPr>
                  <w:rFonts w:ascii="Arial" w:cs="Arial" w:eastAsia="Arial" w:hAnsi="Arial"/>
                  <w:sz w:val="14"/>
                  <w:szCs w:val="14"/>
                  <w:color w:val="0000FF"/>
                </w:rPr>
                <w:t>Amended and Restated Bylaws of the Registrant (incorporated by reference to Exhibit 3.2 to the Registrant’s Current Report on Form 8-K filed with the</w:t>
              </w:r>
            </w:hyperlink>
          </w:p>
        </w:tc>
      </w:tr>
      <w:tr>
        <w:trPr>
          <w:trHeight w:val="118"/>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0" w:type="dxa"/>
            <w:vAlign w:val="bottom"/>
            <w:tcBorders>
              <w:top w:val="single" w:sz="8" w:color="0000FF"/>
            </w:tcBorders>
            <w:gridSpan w:val="9"/>
          </w:tcPr>
          <w:p>
            <w:pPr>
              <w:spacing w:after="0" w:line="118" w:lineRule="exact"/>
              <w:rPr>
                <w:rFonts w:ascii="Arial" w:cs="Arial" w:eastAsia="Arial" w:hAnsi="Arial"/>
                <w:sz w:val="13"/>
                <w:szCs w:val="13"/>
                <w:color w:val="0000FF"/>
              </w:rPr>
            </w:pPr>
            <w:hyperlink r:id="rId17">
              <w:r>
                <w:rPr>
                  <w:rFonts w:ascii="Arial" w:cs="Arial" w:eastAsia="Arial" w:hAnsi="Arial"/>
                  <w:sz w:val="13"/>
                  <w:szCs w:val="13"/>
                  <w:color w:val="0000FF"/>
                </w:rPr>
                <w:t>Commission on May 11, 2026).</w:t>
              </w:r>
            </w:hyperlink>
          </w:p>
        </w:tc>
        <w:tc>
          <w:tcPr>
            <w:tcW w:w="200" w:type="dxa"/>
            <w:vAlign w:val="bottom"/>
          </w:tcPr>
          <w:p>
            <w:pPr>
              <w:spacing w:after="0"/>
              <w:rPr>
                <w:sz w:val="10"/>
                <w:szCs w:val="10"/>
                <w:color w:val="auto"/>
              </w:rPr>
            </w:pPr>
          </w:p>
        </w:tc>
        <w:tc>
          <w:tcPr>
            <w:tcW w:w="380" w:type="dxa"/>
            <w:vAlign w:val="bottom"/>
            <w:gridSpan w:val="4"/>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1"/>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5.1*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99"/>
              </w:rPr>
              <w:t>Opinion of Latham &amp; Watkins LLP.</w:t>
            </w:r>
          </w:p>
        </w:tc>
        <w:tc>
          <w:tcPr>
            <w:tcW w:w="7960" w:type="dxa"/>
            <w:vAlign w:val="bottom"/>
            <w:gridSpan w:val="11"/>
          </w:tcPr>
          <w:p>
            <w:pPr>
              <w:spacing w:after="0"/>
              <w:rPr>
                <w:sz w:val="14"/>
                <w:szCs w:val="14"/>
                <w:color w:val="auto"/>
              </w:rPr>
            </w:pPr>
          </w:p>
        </w:tc>
      </w:tr>
      <w:tr>
        <w:trPr>
          <w:trHeight w:val="16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23.1*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gridSpan w:val="15"/>
          </w:tcPr>
          <w:p>
            <w:pPr>
              <w:spacing w:after="0"/>
              <w:rPr>
                <w:sz w:val="20"/>
                <w:szCs w:val="20"/>
                <w:color w:val="auto"/>
              </w:rPr>
            </w:pPr>
            <w:r>
              <w:rPr>
                <w:rFonts w:ascii="Arial" w:cs="Arial" w:eastAsia="Arial" w:hAnsi="Arial"/>
                <w:sz w:val="14"/>
                <w:szCs w:val="14"/>
                <w:color w:val="0000FF"/>
              </w:rPr>
              <w:t>Consent of Ernst &amp; Young LLP.</w:t>
            </w: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23.2*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gridSpan w:val="15"/>
          </w:tcPr>
          <w:p>
            <w:pPr>
              <w:spacing w:after="0"/>
              <w:rPr>
                <w:sz w:val="20"/>
                <w:szCs w:val="20"/>
                <w:color w:val="auto"/>
              </w:rPr>
            </w:pPr>
            <w:r>
              <w:rPr>
                <w:rFonts w:ascii="Arial" w:cs="Arial" w:eastAsia="Arial" w:hAnsi="Arial"/>
                <w:sz w:val="14"/>
                <w:szCs w:val="14"/>
                <w:color w:val="0000FF"/>
              </w:rPr>
              <w:t>Consent of Latham &amp; Watkins LLP (included in Exhibit 5.1).</w:t>
            </w:r>
          </w:p>
        </w:tc>
      </w:tr>
      <w:tr>
        <w:trPr>
          <w:trHeight w:val="16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24.1*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4"/>
                <w:szCs w:val="14"/>
                <w:color w:val="0000FF"/>
              </w:rPr>
              <w:t>Power of Attorney (included on signature page).</w:t>
            </w:r>
          </w:p>
        </w:tc>
        <w:tc>
          <w:tcPr>
            <w:tcW w:w="700" w:type="dxa"/>
            <w:vAlign w:val="bottom"/>
            <w:tcBorders>
              <w:top w:val="single" w:sz="8" w:color="0000FF"/>
            </w:tcBorders>
            <w:gridSpan w:val="2"/>
          </w:tcPr>
          <w:p>
            <w:pPr>
              <w:spacing w:after="0"/>
              <w:rPr>
                <w:sz w:val="13"/>
                <w:szCs w:val="13"/>
                <w:color w:val="auto"/>
              </w:rPr>
            </w:pPr>
          </w:p>
        </w:tc>
        <w:tc>
          <w:tcPr>
            <w:tcW w:w="6400" w:type="dxa"/>
            <w:vAlign w:val="bottom"/>
            <w:gridSpan w:val="7"/>
          </w:tcPr>
          <w:p>
            <w:pPr>
              <w:spacing w:after="0"/>
              <w:rPr>
                <w:sz w:val="13"/>
                <w:szCs w:val="13"/>
                <w:color w:val="auto"/>
              </w:rPr>
            </w:pPr>
          </w:p>
        </w:tc>
      </w:tr>
      <w:tr>
        <w:trPr>
          <w:trHeight w:val="16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gridSpan w:val="15"/>
          </w:tcPr>
          <w:p>
            <w:pPr>
              <w:spacing w:after="0"/>
              <w:rPr>
                <w:rFonts w:ascii="Arial" w:cs="Arial" w:eastAsia="Arial" w:hAnsi="Arial"/>
                <w:sz w:val="14"/>
                <w:szCs w:val="14"/>
                <w:color w:val="0000FF"/>
              </w:rPr>
            </w:pPr>
            <w:hyperlink r:id="rId18">
              <w:r>
                <w:rPr>
                  <w:rFonts w:ascii="Arial" w:cs="Arial" w:eastAsia="Arial" w:hAnsi="Arial"/>
                  <w:sz w:val="14"/>
                  <w:szCs w:val="14"/>
                  <w:color w:val="0000FF"/>
                </w:rPr>
                <w:t>Molina Healthcare, Inc. 2025 Equity Incentive Plan (incorporated by reference to Exhibit 10.1 to the Registrant’s Current Report on Form 8-K filed with the</w:t>
              </w:r>
            </w:hyperlink>
          </w:p>
        </w:tc>
      </w:tr>
      <w:tr>
        <w:trPr>
          <w:trHeight w:val="118"/>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18">
              <w:r>
                <w:rPr>
                  <w:rFonts w:ascii="Arial" w:cs="Arial" w:eastAsia="Arial" w:hAnsi="Arial"/>
                  <w:sz w:val="13"/>
                  <w:szCs w:val="13"/>
                  <w:color w:val="0000FF"/>
                </w:rPr>
                <w:t>Commission on May 1, 2025).</w:t>
              </w:r>
            </w:hyperlink>
          </w:p>
        </w:tc>
        <w:tc>
          <w:tcPr>
            <w:tcW w:w="7680" w:type="dxa"/>
            <w:vAlign w:val="bottom"/>
            <w:tcBorders>
              <w:top w:val="single" w:sz="8" w:color="0000FF"/>
            </w:tcBorders>
            <w:gridSpan w:val="7"/>
          </w:tcPr>
          <w:p>
            <w:pPr>
              <w:spacing w:after="0"/>
              <w:rPr>
                <w:sz w:val="10"/>
                <w:szCs w:val="10"/>
                <w:color w:val="auto"/>
              </w:rPr>
            </w:pPr>
          </w:p>
        </w:tc>
        <w:tc>
          <w:tcPr>
            <w:tcW w:w="380" w:type="dxa"/>
            <w:vAlign w:val="bottom"/>
            <w:gridSpan w:val="4"/>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99.2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15"/>
          </w:tcPr>
          <w:p>
            <w:pPr>
              <w:spacing w:after="0"/>
              <w:rPr>
                <w:rFonts w:ascii="Arial" w:cs="Arial" w:eastAsia="Arial" w:hAnsi="Arial"/>
                <w:sz w:val="14"/>
                <w:szCs w:val="14"/>
                <w:color w:val="0000FF"/>
              </w:rPr>
            </w:pPr>
            <w:hyperlink r:id="rId19">
              <w:r>
                <w:rPr>
                  <w:rFonts w:ascii="Arial" w:cs="Arial" w:eastAsia="Arial" w:hAnsi="Arial"/>
                  <w:sz w:val="14"/>
                  <w:szCs w:val="14"/>
                  <w:color w:val="0000FF"/>
                </w:rPr>
                <w:t>Amendment Number One to the Molina Healthcare, Inc. 2025 Equity Incentive Plan (incorporated by reference to Exhibit 10.1 to the Registrant’s Current Report</w:t>
              </w:r>
            </w:hyperlink>
          </w:p>
        </w:tc>
      </w:tr>
      <w:tr>
        <w:trPr>
          <w:trHeight w:val="118"/>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rPr>
            </w:pPr>
            <w:hyperlink r:id="rId19">
              <w:r>
                <w:rPr>
                  <w:rFonts w:ascii="Arial" w:cs="Arial" w:eastAsia="Arial" w:hAnsi="Arial"/>
                  <w:sz w:val="13"/>
                  <w:szCs w:val="13"/>
                  <w:color w:val="0000FF"/>
                </w:rPr>
                <w:t>on Form 8-K filed with the Commission on May 11, 2026).</w:t>
              </w:r>
            </w:hyperlink>
          </w:p>
        </w:tc>
        <w:tc>
          <w:tcPr>
            <w:tcW w:w="6380" w:type="dxa"/>
            <w:vAlign w:val="bottom"/>
            <w:tcBorders>
              <w:top w:val="single" w:sz="8" w:color="0000FF"/>
            </w:tcBorders>
            <w:gridSpan w:val="7"/>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107.1*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97"/>
              </w:rPr>
              <w:t>Filing Fee Table</w:t>
            </w:r>
          </w:p>
        </w:tc>
        <w:tc>
          <w:tcPr>
            <w:tcW w:w="9100" w:type="dxa"/>
            <w:vAlign w:val="bottom"/>
            <w:gridSpan w:val="13"/>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42043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4204335" cy="698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ectPr>
          <w:pgSz w:w="11900" w:h="16838" w:orient="portrait"/>
          <w:cols w:equalWidth="0" w:num="1">
            <w:col w:w="11280"/>
          </w:cols>
          <w:pgMar w:left="300" w:top="1143"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SIGNATURES</w:t>
      </w:r>
    </w:p>
    <w:p>
      <w:pPr>
        <w:spacing w:after="0" w:line="12" w:lineRule="exact"/>
        <w:rPr>
          <w:sz w:val="20"/>
          <w:szCs w:val="20"/>
          <w:color w:val="auto"/>
        </w:rPr>
      </w:pPr>
    </w:p>
    <w:p>
      <w:pPr>
        <w:ind w:right="80" w:firstLine="509"/>
        <w:spacing w:after="0" w:line="245" w:lineRule="auto"/>
        <w:rPr>
          <w:sz w:val="20"/>
          <w:szCs w:val="20"/>
          <w:color w:val="auto"/>
        </w:rPr>
      </w:pPr>
      <w:r>
        <w:rPr>
          <w:rFonts w:ascii="Arial" w:cs="Arial" w:eastAsia="Arial" w:hAnsi="Arial"/>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May 27, 2026.</w:t>
      </w:r>
    </w:p>
    <w:p>
      <w:pPr>
        <w:spacing w:after="0" w:line="395"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MOLINA HEALTHCARE, INC.</w:t>
      </w:r>
    </w:p>
    <w:p>
      <w:pPr>
        <w:spacing w:after="0" w:line="200" w:lineRule="exact"/>
        <w:rPr>
          <w:sz w:val="20"/>
          <w:szCs w:val="20"/>
          <w:color w:val="auto"/>
        </w:rPr>
      </w:pPr>
    </w:p>
    <w:p>
      <w:pPr>
        <w:spacing w:after="0" w:line="265"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By: /s/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14605</wp:posOffset>
            </wp:positionV>
            <wp:extent cx="332994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3329940" cy="6985"/>
                    </a:xfrm>
                    <a:prstGeom prst="rect">
                      <a:avLst/>
                    </a:prstGeom>
                    <a:noFill/>
                  </pic:spPr>
                </pic:pic>
              </a:graphicData>
            </a:graphic>
          </wp:anchor>
        </w:drawing>
      </w:r>
    </w:p>
    <w:p>
      <w:pPr>
        <w:spacing w:after="0" w:line="10" w:lineRule="exact"/>
        <w:rPr>
          <w:sz w:val="20"/>
          <w:szCs w:val="20"/>
          <w:color w:val="auto"/>
        </w:rPr>
      </w:pPr>
    </w:p>
    <w:p>
      <w:pPr>
        <w:ind w:left="6140"/>
        <w:spacing w:after="0"/>
        <w:rPr>
          <w:sz w:val="20"/>
          <w:szCs w:val="20"/>
          <w:color w:val="auto"/>
        </w:rPr>
      </w:pPr>
      <w:r>
        <w:rPr>
          <w:rFonts w:ascii="Arial" w:cs="Arial" w:eastAsia="Arial" w:hAnsi="Arial"/>
          <w:sz w:val="14"/>
          <w:szCs w:val="14"/>
          <w:color w:val="auto"/>
        </w:rPr>
        <w:t>Joseph M. Zubretsky</w:t>
      </w:r>
    </w:p>
    <w:p>
      <w:pPr>
        <w:spacing w:after="0" w:line="25" w:lineRule="exact"/>
        <w:rPr>
          <w:sz w:val="20"/>
          <w:szCs w:val="20"/>
          <w:color w:val="auto"/>
        </w:rPr>
      </w:pPr>
    </w:p>
    <w:p>
      <w:pPr>
        <w:ind w:left="6140"/>
        <w:spacing w:after="0"/>
        <w:rPr>
          <w:sz w:val="20"/>
          <w:szCs w:val="20"/>
          <w:color w:val="auto"/>
        </w:rPr>
      </w:pPr>
      <w:r>
        <w:rPr>
          <w:rFonts w:ascii="Arial" w:cs="Arial" w:eastAsia="Arial" w:hAnsi="Arial"/>
          <w:sz w:val="14"/>
          <w:szCs w:val="14"/>
          <w:i w:val="1"/>
          <w:iCs w:val="1"/>
          <w:color w:val="auto"/>
        </w:rPr>
        <w:t>Chief Executive Officer</w:t>
      </w:r>
    </w:p>
    <w:p>
      <w:pPr>
        <w:spacing w:after="0" w:line="19" w:lineRule="exact"/>
        <w:rPr>
          <w:sz w:val="20"/>
          <w:szCs w:val="20"/>
          <w:color w:val="auto"/>
        </w:rPr>
      </w:pPr>
    </w:p>
    <w:p>
      <w:pPr>
        <w:ind w:left="6140"/>
        <w:spacing w:after="0"/>
        <w:rPr>
          <w:sz w:val="20"/>
          <w:szCs w:val="20"/>
          <w:color w:val="auto"/>
        </w:rPr>
      </w:pPr>
      <w:r>
        <w:rPr>
          <w:rFonts w:ascii="Arial" w:cs="Arial" w:eastAsia="Arial" w:hAnsi="Arial"/>
          <w:sz w:val="14"/>
          <w:szCs w:val="14"/>
          <w:i w:val="1"/>
          <w:iCs w:val="1"/>
          <w:color w:val="auto"/>
        </w:rPr>
        <w:t>(Principal Executive Officer)</w:t>
      </w:r>
    </w:p>
    <w:p>
      <w:pPr>
        <w:spacing w:after="0" w:line="200" w:lineRule="exact"/>
        <w:rPr>
          <w:sz w:val="20"/>
          <w:szCs w:val="20"/>
          <w:color w:val="auto"/>
        </w:rPr>
      </w:pPr>
    </w:p>
    <w:p>
      <w:pPr>
        <w:spacing w:after="0" w:line="249"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SIGNATURES AND POWER OF ATTORNEY</w:t>
      </w:r>
    </w:p>
    <w:p>
      <w:pPr>
        <w:spacing w:after="0" w:line="94" w:lineRule="exact"/>
        <w:rPr>
          <w:sz w:val="20"/>
          <w:szCs w:val="20"/>
          <w:color w:val="auto"/>
        </w:rPr>
      </w:pPr>
    </w:p>
    <w:p>
      <w:pPr>
        <w:ind w:right="20" w:firstLine="318"/>
        <w:spacing w:after="0" w:line="259" w:lineRule="auto"/>
        <w:rPr>
          <w:sz w:val="20"/>
          <w:szCs w:val="20"/>
          <w:color w:val="auto"/>
        </w:rPr>
      </w:pPr>
      <w:r>
        <w:rPr>
          <w:rFonts w:ascii="Arial" w:cs="Arial" w:eastAsia="Arial" w:hAnsi="Arial"/>
          <w:sz w:val="14"/>
          <w:szCs w:val="14"/>
          <w:color w:val="auto"/>
        </w:rPr>
        <w:t>Each person whose signature appears below hereby constitutes and appoints Joseph M. Zubretsky and Jeff D. Barlow, or each of them singly, with full power to act without the other, such person’s true and lawful attorneys-in-fact and agents, with full power of substitution and re-substitution, for him and in his name, place and stead, in any and all capacities, to sign this registration statement and any and all amendments, including post-effective amendments to this registration statement,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requisite and necessary or desirable to be done in connection therewith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and on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Signature</w:t>
            </w:r>
          </w:p>
        </w:tc>
        <w:tc>
          <w:tcPr>
            <w:tcW w:w="100" w:type="dxa"/>
            <w:vAlign w:val="bottom"/>
          </w:tcPr>
          <w:p>
            <w:pPr>
              <w:spacing w:after="0"/>
              <w:rPr>
                <w:sz w:val="13"/>
                <w:szCs w:val="13"/>
                <w:color w:val="auto"/>
              </w:rPr>
            </w:pPr>
          </w:p>
        </w:tc>
        <w:tc>
          <w:tcPr>
            <w:tcW w:w="5300" w:type="dxa"/>
            <w:vAlign w:val="bottom"/>
            <w:tcBorders>
              <w:bottom w:val="single" w:sz="8" w:color="auto"/>
            </w:tcBorders>
          </w:tcPr>
          <w:p>
            <w:pPr>
              <w:ind w:left="254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2180" w:type="dxa"/>
            <w:vAlign w:val="bottom"/>
            <w:tcBorders>
              <w:bottom w:val="single" w:sz="8" w:color="auto"/>
            </w:tcBorders>
          </w:tcPr>
          <w:p>
            <w:pPr>
              <w:ind w:left="960"/>
              <w:spacing w:after="0"/>
              <w:rPr>
                <w:sz w:val="20"/>
                <w:szCs w:val="20"/>
                <w:color w:val="auto"/>
              </w:rPr>
            </w:pPr>
            <w:r>
              <w:rPr>
                <w:rFonts w:ascii="Arial" w:cs="Arial" w:eastAsia="Arial" w:hAnsi="Arial"/>
                <w:sz w:val="11"/>
                <w:szCs w:val="11"/>
                <w:b w:val="1"/>
                <w:bCs w:val="1"/>
                <w:color w:val="auto"/>
              </w:rPr>
              <w:t>Date</w:t>
            </w:r>
          </w:p>
        </w:tc>
      </w:tr>
      <w:tr>
        <w:trPr>
          <w:trHeight w:val="40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Joseph M. Zubretsky</w:t>
            </w:r>
          </w:p>
        </w:tc>
        <w:tc>
          <w:tcPr>
            <w:tcW w:w="10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Arial" w:cs="Arial" w:eastAsia="Arial" w:hAnsi="Arial"/>
                <w:sz w:val="14"/>
                <w:szCs w:val="14"/>
                <w:color w:val="auto"/>
              </w:rPr>
              <w:t>Chief Executive Officer and Director</w:t>
            </w:r>
          </w:p>
        </w:tc>
        <w:tc>
          <w:tcPr>
            <w:tcW w:w="2180" w:type="dxa"/>
            <w:vAlign w:val="bottom"/>
          </w:tcPr>
          <w:p>
            <w:pPr>
              <w:ind w:left="20"/>
              <w:spacing w:after="0"/>
              <w:rPr>
                <w:sz w:val="20"/>
                <w:szCs w:val="20"/>
                <w:color w:val="auto"/>
              </w:rPr>
            </w:pPr>
            <w:r>
              <w:rPr>
                <w:rFonts w:ascii="Arial" w:cs="Arial" w:eastAsia="Arial" w:hAnsi="Arial"/>
                <w:sz w:val="14"/>
                <w:szCs w:val="14"/>
                <w:color w:val="auto"/>
              </w:rPr>
              <w:t>May 27, 2026</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Joseph M. Zubretsky</w:t>
            </w:r>
          </w:p>
        </w:tc>
        <w:tc>
          <w:tcPr>
            <w:tcW w:w="100" w:type="dxa"/>
            <w:vAlign w:val="bottom"/>
          </w:tcPr>
          <w:p>
            <w:pPr>
              <w:spacing w:after="0"/>
              <w:rPr>
                <w:sz w:val="15"/>
                <w:szCs w:val="15"/>
                <w:color w:val="auto"/>
              </w:rPr>
            </w:pPr>
          </w:p>
        </w:tc>
        <w:tc>
          <w:tcPr>
            <w:tcW w:w="5400" w:type="dxa"/>
            <w:vAlign w:val="bottom"/>
            <w:gridSpan w:val="2"/>
          </w:tcPr>
          <w:p>
            <w:pPr>
              <w:ind w:left="20"/>
              <w:spacing w:after="0"/>
              <w:rPr>
                <w:sz w:val="20"/>
                <w:szCs w:val="20"/>
                <w:color w:val="auto"/>
              </w:rPr>
            </w:pPr>
            <w:r>
              <w:rPr>
                <w:rFonts w:ascii="Arial" w:cs="Arial" w:eastAsia="Arial" w:hAnsi="Arial"/>
                <w:sz w:val="14"/>
                <w:szCs w:val="14"/>
                <w:color w:val="auto"/>
              </w:rPr>
              <w:t>(Principal Executive Officer)</w:t>
            </w:r>
          </w:p>
        </w:tc>
        <w:tc>
          <w:tcPr>
            <w:tcW w:w="2180" w:type="dxa"/>
            <w:vAlign w:val="bottom"/>
          </w:tcPr>
          <w:p>
            <w:pPr>
              <w:spacing w:after="0"/>
              <w:rPr>
                <w:sz w:val="15"/>
                <w:szCs w:val="15"/>
                <w:color w:val="auto"/>
              </w:rPr>
            </w:pPr>
          </w:p>
        </w:tc>
      </w:tr>
      <w:tr>
        <w:trPr>
          <w:trHeight w:val="38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Mark L. Keim</w:t>
            </w:r>
          </w:p>
        </w:tc>
        <w:tc>
          <w:tcPr>
            <w:tcW w:w="10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Arial" w:cs="Arial" w:eastAsia="Arial" w:hAnsi="Arial"/>
                <w:sz w:val="14"/>
                <w:szCs w:val="14"/>
                <w:color w:val="auto"/>
              </w:rPr>
              <w:t>Chief Financial Officer</w:t>
            </w:r>
          </w:p>
        </w:tc>
        <w:tc>
          <w:tcPr>
            <w:tcW w:w="2180" w:type="dxa"/>
            <w:vAlign w:val="bottom"/>
          </w:tcPr>
          <w:p>
            <w:pPr>
              <w:ind w:left="20"/>
              <w:spacing w:after="0"/>
              <w:rPr>
                <w:sz w:val="20"/>
                <w:szCs w:val="20"/>
                <w:color w:val="auto"/>
              </w:rPr>
            </w:pPr>
            <w:r>
              <w:rPr>
                <w:rFonts w:ascii="Arial" w:cs="Arial" w:eastAsia="Arial" w:hAnsi="Arial"/>
                <w:sz w:val="14"/>
                <w:szCs w:val="14"/>
                <w:color w:val="auto"/>
              </w:rPr>
              <w:t>May 27, 2026</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Mark L. Keim</w:t>
            </w:r>
          </w:p>
        </w:tc>
        <w:tc>
          <w:tcPr>
            <w:tcW w:w="100" w:type="dxa"/>
            <w:vAlign w:val="bottom"/>
          </w:tcPr>
          <w:p>
            <w:pPr>
              <w:spacing w:after="0"/>
              <w:rPr>
                <w:sz w:val="15"/>
                <w:szCs w:val="15"/>
                <w:color w:val="auto"/>
              </w:rPr>
            </w:pPr>
          </w:p>
        </w:tc>
        <w:tc>
          <w:tcPr>
            <w:tcW w:w="5400" w:type="dxa"/>
            <w:vAlign w:val="bottom"/>
            <w:gridSpan w:val="2"/>
          </w:tcPr>
          <w:p>
            <w:pPr>
              <w:ind w:left="20"/>
              <w:spacing w:after="0"/>
              <w:rPr>
                <w:sz w:val="20"/>
                <w:szCs w:val="20"/>
                <w:color w:val="auto"/>
              </w:rPr>
            </w:pPr>
            <w:r>
              <w:rPr>
                <w:rFonts w:ascii="Arial" w:cs="Arial" w:eastAsia="Arial" w:hAnsi="Arial"/>
                <w:sz w:val="14"/>
                <w:szCs w:val="14"/>
                <w:color w:val="auto"/>
              </w:rPr>
              <w:t>(Principal Financial Officer)</w:t>
            </w:r>
          </w:p>
        </w:tc>
        <w:tc>
          <w:tcPr>
            <w:tcW w:w="2180" w:type="dxa"/>
            <w:vAlign w:val="bottom"/>
          </w:tcPr>
          <w:p>
            <w:pPr>
              <w:spacing w:after="0"/>
              <w:rPr>
                <w:sz w:val="15"/>
                <w:szCs w:val="15"/>
                <w:color w:val="auto"/>
              </w:rPr>
            </w:pPr>
          </w:p>
        </w:tc>
      </w:tr>
      <w:tr>
        <w:trPr>
          <w:trHeight w:val="38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Maurice S. Hebert</w:t>
            </w:r>
          </w:p>
        </w:tc>
        <w:tc>
          <w:tcPr>
            <w:tcW w:w="10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Arial" w:cs="Arial" w:eastAsia="Arial" w:hAnsi="Arial"/>
                <w:sz w:val="14"/>
                <w:szCs w:val="14"/>
                <w:color w:val="auto"/>
              </w:rPr>
              <w:t>Chief Accounting Officer</w:t>
            </w:r>
          </w:p>
        </w:tc>
        <w:tc>
          <w:tcPr>
            <w:tcW w:w="2180" w:type="dxa"/>
            <w:vAlign w:val="bottom"/>
          </w:tcPr>
          <w:p>
            <w:pPr>
              <w:ind w:left="20"/>
              <w:spacing w:after="0"/>
              <w:rPr>
                <w:sz w:val="20"/>
                <w:szCs w:val="20"/>
                <w:color w:val="auto"/>
              </w:rPr>
            </w:pPr>
            <w:r>
              <w:rPr>
                <w:rFonts w:ascii="Arial" w:cs="Arial" w:eastAsia="Arial" w:hAnsi="Arial"/>
                <w:sz w:val="14"/>
                <w:szCs w:val="14"/>
                <w:color w:val="auto"/>
              </w:rPr>
              <w:t>May 27, 2026</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Maurice S. Hebert</w:t>
            </w:r>
          </w:p>
        </w:tc>
        <w:tc>
          <w:tcPr>
            <w:tcW w:w="100" w:type="dxa"/>
            <w:vAlign w:val="bottom"/>
          </w:tcPr>
          <w:p>
            <w:pPr>
              <w:spacing w:after="0"/>
              <w:rPr>
                <w:sz w:val="15"/>
                <w:szCs w:val="15"/>
                <w:color w:val="auto"/>
              </w:rPr>
            </w:pPr>
          </w:p>
        </w:tc>
        <w:tc>
          <w:tcPr>
            <w:tcW w:w="5400" w:type="dxa"/>
            <w:vAlign w:val="bottom"/>
            <w:gridSpan w:val="2"/>
          </w:tcPr>
          <w:p>
            <w:pPr>
              <w:ind w:left="20"/>
              <w:spacing w:after="0"/>
              <w:rPr>
                <w:sz w:val="20"/>
                <w:szCs w:val="20"/>
                <w:color w:val="auto"/>
              </w:rPr>
            </w:pPr>
            <w:r>
              <w:rPr>
                <w:rFonts w:ascii="Arial" w:cs="Arial" w:eastAsia="Arial" w:hAnsi="Arial"/>
                <w:sz w:val="14"/>
                <w:szCs w:val="14"/>
                <w:color w:val="auto"/>
              </w:rPr>
              <w:t>(Principal Accounting Officer)</w:t>
            </w:r>
          </w:p>
        </w:tc>
        <w:tc>
          <w:tcPr>
            <w:tcW w:w="2180" w:type="dxa"/>
            <w:vAlign w:val="bottom"/>
          </w:tcPr>
          <w:p>
            <w:pPr>
              <w:spacing w:after="0"/>
              <w:rPr>
                <w:sz w:val="15"/>
                <w:szCs w:val="15"/>
                <w:color w:val="auto"/>
              </w:rPr>
            </w:pPr>
          </w:p>
        </w:tc>
      </w:tr>
      <w:tr>
        <w:trPr>
          <w:trHeight w:val="38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Barbara L. Brasier</w:t>
            </w:r>
          </w:p>
        </w:tc>
        <w:tc>
          <w:tcPr>
            <w:tcW w:w="10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180" w:type="dxa"/>
            <w:vAlign w:val="bottom"/>
          </w:tcPr>
          <w:p>
            <w:pPr>
              <w:ind w:left="20"/>
              <w:spacing w:after="0"/>
              <w:rPr>
                <w:sz w:val="20"/>
                <w:szCs w:val="20"/>
                <w:color w:val="auto"/>
              </w:rPr>
            </w:pPr>
            <w:r>
              <w:rPr>
                <w:rFonts w:ascii="Arial" w:cs="Arial" w:eastAsia="Arial" w:hAnsi="Arial"/>
                <w:sz w:val="14"/>
                <w:szCs w:val="14"/>
                <w:color w:val="auto"/>
              </w:rPr>
              <w:t>May 27, 2026</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Barbara L. Brasier</w:t>
            </w:r>
          </w:p>
        </w:tc>
        <w:tc>
          <w:tcPr>
            <w:tcW w:w="10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r>
    </w:tbl>
    <w:p>
      <w:pPr>
        <w:sectPr>
          <w:pgSz w:w="11900" w:h="16838" w:orient="portrait"/>
          <w:cols w:equalWidth="0" w:num="1">
            <w:col w:w="11280"/>
          </w:cols>
          <w:pgMar w:left="300" w:top="1409"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Leo P. Grohowski</w:t>
            </w:r>
          </w:p>
        </w:tc>
        <w:tc>
          <w:tcPr>
            <w:tcW w:w="35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2840" w:type="dxa"/>
            <w:vAlign w:val="bottom"/>
          </w:tcPr>
          <w:p>
            <w:pPr>
              <w:ind w:left="2000"/>
              <w:spacing w:after="0"/>
              <w:rPr>
                <w:sz w:val="20"/>
                <w:szCs w:val="20"/>
                <w:color w:val="auto"/>
              </w:rPr>
            </w:pPr>
            <w:r>
              <w:rPr>
                <w:rFonts w:ascii="Arial" w:cs="Arial" w:eastAsia="Arial" w:hAnsi="Arial"/>
                <w:sz w:val="14"/>
                <w:szCs w:val="14"/>
                <w:color w:val="auto"/>
                <w:w w:val="96"/>
              </w:rPr>
              <w:t>May 27, 2026</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Leo P. Grohowski</w:t>
            </w:r>
          </w:p>
        </w:tc>
        <w:tc>
          <w:tcPr>
            <w:tcW w:w="35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38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Stephen H. Lockhart</w:t>
            </w:r>
          </w:p>
        </w:tc>
        <w:tc>
          <w:tcPr>
            <w:tcW w:w="35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2840" w:type="dxa"/>
            <w:vAlign w:val="bottom"/>
          </w:tcPr>
          <w:p>
            <w:pPr>
              <w:ind w:left="2000"/>
              <w:spacing w:after="0"/>
              <w:rPr>
                <w:sz w:val="20"/>
                <w:szCs w:val="20"/>
                <w:color w:val="auto"/>
              </w:rPr>
            </w:pPr>
            <w:r>
              <w:rPr>
                <w:rFonts w:ascii="Arial" w:cs="Arial" w:eastAsia="Arial" w:hAnsi="Arial"/>
                <w:sz w:val="14"/>
                <w:szCs w:val="14"/>
                <w:color w:val="auto"/>
                <w:w w:val="96"/>
              </w:rPr>
              <w:t>May 27, 2026</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Stephen H. Lockhart</w:t>
            </w:r>
          </w:p>
        </w:tc>
        <w:tc>
          <w:tcPr>
            <w:tcW w:w="35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38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Steven J. Orlando</w:t>
            </w:r>
          </w:p>
        </w:tc>
        <w:tc>
          <w:tcPr>
            <w:tcW w:w="35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2840" w:type="dxa"/>
            <w:vAlign w:val="bottom"/>
          </w:tcPr>
          <w:p>
            <w:pPr>
              <w:ind w:left="2000"/>
              <w:spacing w:after="0"/>
              <w:rPr>
                <w:sz w:val="20"/>
                <w:szCs w:val="20"/>
                <w:color w:val="auto"/>
              </w:rPr>
            </w:pPr>
            <w:r>
              <w:rPr>
                <w:rFonts w:ascii="Arial" w:cs="Arial" w:eastAsia="Arial" w:hAnsi="Arial"/>
                <w:sz w:val="14"/>
                <w:szCs w:val="14"/>
                <w:color w:val="auto"/>
                <w:w w:val="96"/>
              </w:rPr>
              <w:t>May 27, 2026</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Steven J. Orlando</w:t>
            </w:r>
          </w:p>
        </w:tc>
        <w:tc>
          <w:tcPr>
            <w:tcW w:w="35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38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Ronna E. Romney</w:t>
            </w:r>
          </w:p>
        </w:tc>
        <w:tc>
          <w:tcPr>
            <w:tcW w:w="35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2840" w:type="dxa"/>
            <w:vAlign w:val="bottom"/>
          </w:tcPr>
          <w:p>
            <w:pPr>
              <w:ind w:left="2000"/>
              <w:spacing w:after="0"/>
              <w:rPr>
                <w:sz w:val="20"/>
                <w:szCs w:val="20"/>
                <w:color w:val="auto"/>
              </w:rPr>
            </w:pPr>
            <w:r>
              <w:rPr>
                <w:rFonts w:ascii="Arial" w:cs="Arial" w:eastAsia="Arial" w:hAnsi="Arial"/>
                <w:sz w:val="14"/>
                <w:szCs w:val="14"/>
                <w:color w:val="auto"/>
                <w:w w:val="96"/>
              </w:rPr>
              <w:t>May 27, 2026</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Ronna E. Romney</w:t>
            </w:r>
          </w:p>
        </w:tc>
        <w:tc>
          <w:tcPr>
            <w:tcW w:w="35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387"/>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Richard M. Schapiro</w:t>
            </w:r>
          </w:p>
        </w:tc>
        <w:tc>
          <w:tcPr>
            <w:tcW w:w="35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2840" w:type="dxa"/>
            <w:vAlign w:val="bottom"/>
          </w:tcPr>
          <w:p>
            <w:pPr>
              <w:ind w:left="2000"/>
              <w:spacing w:after="0"/>
              <w:rPr>
                <w:sz w:val="20"/>
                <w:szCs w:val="20"/>
                <w:color w:val="auto"/>
              </w:rPr>
            </w:pPr>
            <w:r>
              <w:rPr>
                <w:rFonts w:ascii="Arial" w:cs="Arial" w:eastAsia="Arial" w:hAnsi="Arial"/>
                <w:sz w:val="14"/>
                <w:szCs w:val="14"/>
                <w:color w:val="auto"/>
                <w:w w:val="96"/>
              </w:rPr>
              <w:t>May 27, 2026</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Richard M. Schapiro</w:t>
            </w:r>
          </w:p>
        </w:tc>
        <w:tc>
          <w:tcPr>
            <w:tcW w:w="35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37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Francis S. Soistman</w:t>
            </w:r>
          </w:p>
        </w:tc>
        <w:tc>
          <w:tcPr>
            <w:tcW w:w="35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2840" w:type="dxa"/>
            <w:vAlign w:val="bottom"/>
          </w:tcPr>
          <w:p>
            <w:pPr>
              <w:ind w:left="2000"/>
              <w:spacing w:after="0"/>
              <w:rPr>
                <w:sz w:val="20"/>
                <w:szCs w:val="20"/>
                <w:color w:val="auto"/>
              </w:rPr>
            </w:pPr>
            <w:r>
              <w:rPr>
                <w:rFonts w:ascii="Arial" w:cs="Arial" w:eastAsia="Arial" w:hAnsi="Arial"/>
                <w:sz w:val="14"/>
                <w:szCs w:val="14"/>
                <w:color w:val="auto"/>
                <w:w w:val="96"/>
              </w:rPr>
              <w:t>May 27, 2026</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Francis S. Soistman</w:t>
            </w:r>
          </w:p>
        </w:tc>
        <w:tc>
          <w:tcPr>
            <w:tcW w:w="35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37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Dale B. Wolf</w:t>
            </w:r>
          </w:p>
        </w:tc>
        <w:tc>
          <w:tcPr>
            <w:tcW w:w="3520" w:type="dxa"/>
            <w:vAlign w:val="bottom"/>
          </w:tcPr>
          <w:p>
            <w:pPr>
              <w:ind w:left="120"/>
              <w:spacing w:after="0"/>
              <w:rPr>
                <w:sz w:val="20"/>
                <w:szCs w:val="20"/>
                <w:color w:val="auto"/>
              </w:rPr>
            </w:pPr>
            <w:r>
              <w:rPr>
                <w:rFonts w:ascii="Arial" w:cs="Arial" w:eastAsia="Arial" w:hAnsi="Arial"/>
                <w:sz w:val="14"/>
                <w:szCs w:val="14"/>
                <w:color w:val="auto"/>
              </w:rPr>
              <w:t>Chairman of the Board</w:t>
            </w:r>
          </w:p>
        </w:tc>
        <w:tc>
          <w:tcPr>
            <w:tcW w:w="2840" w:type="dxa"/>
            <w:vAlign w:val="bottom"/>
          </w:tcPr>
          <w:p>
            <w:pPr>
              <w:ind w:left="2000"/>
              <w:spacing w:after="0"/>
              <w:rPr>
                <w:sz w:val="20"/>
                <w:szCs w:val="20"/>
                <w:color w:val="auto"/>
              </w:rPr>
            </w:pPr>
            <w:r>
              <w:rPr>
                <w:rFonts w:ascii="Arial" w:cs="Arial" w:eastAsia="Arial" w:hAnsi="Arial"/>
                <w:sz w:val="14"/>
                <w:szCs w:val="14"/>
                <w:color w:val="auto"/>
                <w:w w:val="96"/>
              </w:rPr>
              <w:t>May 27, 2026</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Dale B. Wolf</w:t>
            </w:r>
          </w:p>
        </w:tc>
        <w:tc>
          <w:tcPr>
            <w:tcW w:w="352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37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Richard C. Zoretic</w:t>
            </w:r>
          </w:p>
        </w:tc>
        <w:tc>
          <w:tcPr>
            <w:tcW w:w="35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2840" w:type="dxa"/>
            <w:vAlign w:val="bottom"/>
          </w:tcPr>
          <w:p>
            <w:pPr>
              <w:ind w:left="2000"/>
              <w:spacing w:after="0"/>
              <w:rPr>
                <w:sz w:val="20"/>
                <w:szCs w:val="20"/>
                <w:color w:val="auto"/>
              </w:rPr>
            </w:pPr>
            <w:r>
              <w:rPr>
                <w:rFonts w:ascii="Arial" w:cs="Arial" w:eastAsia="Arial" w:hAnsi="Arial"/>
                <w:sz w:val="14"/>
                <w:szCs w:val="14"/>
                <w:color w:val="auto"/>
                <w:w w:val="96"/>
              </w:rPr>
              <w:t>May 27, 2026</w:t>
            </w:r>
          </w:p>
        </w:tc>
      </w:tr>
      <w:tr>
        <w:trPr>
          <w:trHeight w:val="177"/>
        </w:trPr>
        <w:tc>
          <w:tcPr>
            <w:tcW w:w="3600" w:type="dxa"/>
            <w:vAlign w:val="bottom"/>
          </w:tcPr>
          <w:p>
            <w:pPr>
              <w:ind w:left="20"/>
              <w:spacing w:after="0"/>
              <w:rPr>
                <w:sz w:val="20"/>
                <w:szCs w:val="20"/>
                <w:color w:val="auto"/>
              </w:rPr>
            </w:pPr>
            <w:r>
              <w:rPr>
                <w:rFonts w:ascii="Arial" w:cs="Arial" w:eastAsia="Arial" w:hAnsi="Arial"/>
                <w:sz w:val="14"/>
                <w:szCs w:val="14"/>
                <w:color w:val="auto"/>
              </w:rPr>
              <w:t>Richard C. Zoretic</w:t>
            </w:r>
          </w:p>
        </w:tc>
        <w:tc>
          <w:tcPr>
            <w:tcW w:w="3520" w:type="dxa"/>
            <w:vAlign w:val="bottom"/>
          </w:tcPr>
          <w:p>
            <w:pPr>
              <w:spacing w:after="0"/>
              <w:rPr>
                <w:sz w:val="15"/>
                <w:szCs w:val="15"/>
                <w:color w:val="auto"/>
              </w:rPr>
            </w:pPr>
          </w:p>
        </w:tc>
        <w:tc>
          <w:tcPr>
            <w:tcW w:w="2840" w:type="dxa"/>
            <w:vAlign w:val="bottom"/>
          </w:tcPr>
          <w:p>
            <w:pPr>
              <w:spacing w:after="0"/>
              <w:rPr>
                <w:sz w:val="15"/>
                <w:szCs w:val="15"/>
                <w:color w:val="auto"/>
              </w:rPr>
            </w:pPr>
          </w:p>
        </w:tc>
      </w:tr>
    </w:tbl>
    <w:p>
      <w:pPr>
        <w:sectPr>
          <w:pgSz w:w="11900" w:h="16838" w:orient="portrait"/>
          <w:cols w:equalWidth="0" w:num="1">
            <w:col w:w="10159"/>
          </w:cols>
          <w:pgMar w:left="300" w:top="1175" w:right="1440" w:bottom="1440" w:gutter="0" w:footer="0" w:header="0"/>
        </w:sectPr>
      </w:pPr>
    </w:p>
    <w:bookmarkStart w:id="4" w:name="page5"/>
    <w:bookmarkEnd w:id="4"/>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S-8</w:t>
      </w:r>
    </w:p>
    <w:p>
      <w:pPr>
        <w:spacing w:after="0" w:line="102" w:lineRule="exact"/>
        <w:rPr>
          <w:sz w:val="20"/>
          <w:szCs w:val="20"/>
          <w:color w:val="auto"/>
        </w:rPr>
      </w:pPr>
    </w:p>
    <w:p>
      <w:pPr>
        <w:jc w:val="center"/>
        <w:ind w:right="120"/>
        <w:spacing w:after="0"/>
        <w:rPr>
          <w:sz w:val="20"/>
          <w:szCs w:val="20"/>
          <w:color w:val="auto"/>
        </w:rPr>
      </w:pPr>
      <w:r>
        <w:rPr>
          <w:rFonts w:ascii="Arial" w:cs="Arial" w:eastAsia="Arial" w:hAnsi="Arial"/>
          <w:sz w:val="28"/>
          <w:szCs w:val="28"/>
          <w:b w:val="1"/>
          <w:bCs w:val="1"/>
          <w:color w:val="auto"/>
        </w:rPr>
        <w:t>MOLINA HEALTHCARE,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1: Newly Registered Securities</w:t>
      </w:r>
    </w:p>
    <w:p>
      <w:pPr>
        <w:spacing w:after="0" w:line="36" w:lineRule="exact"/>
        <w:rPr>
          <w:sz w:val="20"/>
          <w:szCs w:val="20"/>
          <w:color w:val="auto"/>
        </w:rPr>
      </w:pPr>
    </w:p>
    <w:tbl>
      <w:tblPr>
        <w:tblLayout w:type="fixed"/>
        <w:tblInd w:w="590" w:type="dxa"/>
        <w:tblCellMar>
          <w:top w:w="0" w:type="dxa"/>
          <w:left w:w="0" w:type="dxa"/>
          <w:bottom w:w="0" w:type="dxa"/>
          <w:right w:w="0" w:type="dxa"/>
        </w:tblCellMar>
      </w:tblPr>
      <w:tr>
        <w:trPr>
          <w:trHeight w:val="40"/>
        </w:trPr>
        <w:tc>
          <w:tcPr>
            <w:tcW w:w="220" w:type="dxa"/>
            <w:vAlign w:val="bottom"/>
            <w:tcBorders>
              <w:top w:val="single" w:sz="8" w:color="auto"/>
              <w:left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220" w:type="dxa"/>
            <w:vAlign w:val="bottom"/>
            <w:tcBorders>
              <w:left w:val="single" w:sz="8" w:color="auto"/>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102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5"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right"/>
              <w:ind w:right="115"/>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1520" w:type="dxa"/>
            <w:vAlign w:val="bottom"/>
            <w:shd w:val="clear" w:color="auto" w:fill="9ADAF6"/>
          </w:tcPr>
          <w:p>
            <w:pPr>
              <w:jc w:val="center"/>
              <w:spacing w:after="0" w:line="165" w:lineRule="exact"/>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4"/>
                <w:szCs w:val="14"/>
                <w:color w:val="auto"/>
              </w:rPr>
            </w:pPr>
          </w:p>
        </w:tc>
        <w:tc>
          <w:tcPr>
            <w:tcW w:w="1640" w:type="dxa"/>
            <w:vAlign w:val="bottom"/>
            <w:shd w:val="clear" w:color="auto" w:fill="9ADAF6"/>
          </w:tcPr>
          <w:p>
            <w:pPr>
              <w:jc w:val="center"/>
              <w:spacing w:after="0" w:line="165"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vMerge w:val="restart"/>
            <w:shd w:val="clear" w:color="auto" w:fill="9ADAF6"/>
          </w:tcPr>
          <w:p>
            <w:pPr>
              <w:jc w:val="right"/>
              <w:ind w:right="315"/>
              <w:spacing w:after="0"/>
              <w:rPr>
                <w:sz w:val="20"/>
                <w:szCs w:val="20"/>
                <w:color w:val="auto"/>
              </w:rPr>
            </w:pPr>
            <w:r>
              <w:rPr>
                <w:rFonts w:ascii="Arial" w:cs="Arial" w:eastAsia="Arial" w:hAnsi="Arial"/>
                <w:sz w:val="17"/>
                <w:szCs w:val="17"/>
                <w:b w:val="1"/>
                <w:bCs w:val="1"/>
                <w:color w:val="auto"/>
              </w:rPr>
              <w:t>Amount of</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20" w:type="dxa"/>
            <w:vAlign w:val="bottom"/>
            <w:tcBorders>
              <w:left w:val="single" w:sz="8" w:color="auto"/>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Offering</w:t>
            </w:r>
          </w:p>
        </w:tc>
        <w:tc>
          <w:tcPr>
            <w:tcW w:w="20" w:type="dxa"/>
            <w:vAlign w:val="bottom"/>
          </w:tcPr>
          <w:p>
            <w:pPr>
              <w:spacing w:after="0"/>
              <w:rPr>
                <w:sz w:val="8"/>
                <w:szCs w:val="8"/>
                <w:color w:val="auto"/>
              </w:rPr>
            </w:pPr>
          </w:p>
        </w:tc>
        <w:tc>
          <w:tcPr>
            <w:tcW w:w="1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 Offering</w:t>
            </w:r>
          </w:p>
        </w:tc>
        <w:tc>
          <w:tcPr>
            <w:tcW w:w="20" w:type="dxa"/>
            <w:vAlign w:val="bottom"/>
          </w:tcPr>
          <w:p>
            <w:pPr>
              <w:spacing w:after="0"/>
              <w:rPr>
                <w:sz w:val="8"/>
                <w:szCs w:val="8"/>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8"/>
                <w:szCs w:val="8"/>
                <w:color w:val="auto"/>
              </w:rPr>
            </w:pPr>
          </w:p>
        </w:tc>
        <w:tc>
          <w:tcPr>
            <w:tcW w:w="164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20" w:type="dxa"/>
            <w:vAlign w:val="bottom"/>
            <w:tcBorders>
              <w:left w:val="single" w:sz="8" w:color="auto"/>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1020" w:type="dxa"/>
            <w:vAlign w:val="bottom"/>
            <w:shd w:val="clear" w:color="auto" w:fill="9ADAF6"/>
          </w:tcPr>
          <w:p>
            <w:pPr>
              <w:ind w:left="80"/>
              <w:spacing w:after="0" w:line="170"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right"/>
              <w:spacing w:after="0" w:line="170"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4"/>
                <w:szCs w:val="14"/>
                <w:color w:val="auto"/>
              </w:rPr>
            </w:pPr>
          </w:p>
        </w:tc>
        <w:tc>
          <w:tcPr>
            <w:tcW w:w="15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shd w:val="clear" w:color="auto" w:fill="9ADAF6"/>
          </w:tcPr>
          <w:p>
            <w:pPr>
              <w:jc w:val="right"/>
              <w:ind w:right="75"/>
              <w:spacing w:after="0" w:line="170" w:lineRule="exact"/>
              <w:rPr>
                <w:sz w:val="20"/>
                <w:szCs w:val="20"/>
                <w:color w:val="auto"/>
              </w:rPr>
            </w:pPr>
            <w:r>
              <w:rPr>
                <w:rFonts w:ascii="Arial" w:cs="Arial" w:eastAsia="Arial" w:hAnsi="Arial"/>
                <w:sz w:val="17"/>
                <w:szCs w:val="17"/>
                <w:b w:val="1"/>
                <w:bCs w:val="1"/>
                <w:color w:val="auto"/>
              </w:rPr>
              <w:t>Registration 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jc w:val="center"/>
              <w:spacing w:after="0" w:line="14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9" w:lineRule="exact"/>
              <w:rPr>
                <w:sz w:val="20"/>
                <w:szCs w:val="20"/>
                <w:color w:val="auto"/>
              </w:rPr>
            </w:pPr>
            <w:r>
              <w:rPr>
                <w:rFonts w:ascii="Arial" w:cs="Arial" w:eastAsia="Arial" w:hAnsi="Arial"/>
                <w:sz w:val="17"/>
                <w:szCs w:val="17"/>
                <w:b w:val="1"/>
                <w:bCs w:val="1"/>
                <w:color w:val="auto"/>
              </w:rPr>
              <w:t>Price Per Unit</w:t>
            </w:r>
          </w:p>
        </w:tc>
        <w:tc>
          <w:tcPr>
            <w:tcW w:w="20" w:type="dxa"/>
            <w:vAlign w:val="bottom"/>
          </w:tcPr>
          <w:p>
            <w:pPr>
              <w:spacing w:after="0"/>
              <w:rPr>
                <w:sz w:val="12"/>
                <w:szCs w:val="12"/>
                <w:color w:val="auto"/>
              </w:rPr>
            </w:pPr>
          </w:p>
        </w:tc>
        <w:tc>
          <w:tcPr>
            <w:tcW w:w="1640" w:type="dxa"/>
            <w:vAlign w:val="bottom"/>
            <w:shd w:val="clear" w:color="auto" w:fill="9ADAF6"/>
          </w:tcPr>
          <w:p>
            <w:pPr>
              <w:jc w:val="center"/>
              <w:spacing w:after="0" w:line="149" w:lineRule="exact"/>
              <w:rPr>
                <w:sz w:val="20"/>
                <w:szCs w:val="20"/>
                <w:color w:val="auto"/>
              </w:rPr>
            </w:pPr>
            <w:r>
              <w:rPr>
                <w:rFonts w:ascii="Arial" w:cs="Arial" w:eastAsia="Arial" w:hAnsi="Arial"/>
                <w:sz w:val="17"/>
                <w:szCs w:val="17"/>
                <w:b w:val="1"/>
                <w:bCs w:val="1"/>
                <w:color w:val="auto"/>
                <w:w w:val="96"/>
              </w:rPr>
              <w:t>Price</w:t>
            </w:r>
          </w:p>
        </w:tc>
        <w:tc>
          <w:tcPr>
            <w:tcW w:w="2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shd w:val="clear" w:color="auto" w:fill="9ADAF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2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jc w:val="right"/>
              <w:spacing w:after="0" w:line="191"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$0.001 par</w:t>
            </w:r>
          </w:p>
        </w:tc>
        <w:tc>
          <w:tcPr>
            <w:tcW w:w="20" w:type="dxa"/>
            <w:vAlign w:val="bottom"/>
          </w:tcPr>
          <w:p>
            <w:pPr>
              <w:spacing w:after="0"/>
              <w:rPr>
                <w:sz w:val="16"/>
                <w:szCs w:val="16"/>
                <w:color w:val="auto"/>
              </w:rPr>
            </w:pPr>
          </w:p>
        </w:tc>
        <w:tc>
          <w:tcPr>
            <w:tcW w:w="1020" w:type="dxa"/>
            <w:vAlign w:val="bottom"/>
            <w:shd w:val="clear" w:color="auto" w:fill="E7E7E2"/>
          </w:tcPr>
          <w:p>
            <w:pPr>
              <w:jc w:val="center"/>
              <w:spacing w:after="0" w:line="191" w:lineRule="exact"/>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102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rPr>
              <w:t>1,500,000</w:t>
            </w:r>
          </w:p>
        </w:tc>
        <w:tc>
          <w:tcPr>
            <w:tcW w:w="20" w:type="dxa"/>
            <w:vAlign w:val="bottom"/>
          </w:tcPr>
          <w:p>
            <w:pPr>
              <w:spacing w:after="0"/>
              <w:rPr>
                <w:sz w:val="16"/>
                <w:szCs w:val="16"/>
                <w:color w:val="auto"/>
              </w:rPr>
            </w:pPr>
          </w:p>
        </w:tc>
        <w:tc>
          <w:tcPr>
            <w:tcW w:w="152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rPr>
              <w:t>$ 178.97</w:t>
            </w:r>
          </w:p>
        </w:tc>
        <w:tc>
          <w:tcPr>
            <w:tcW w:w="20" w:type="dxa"/>
            <w:vAlign w:val="bottom"/>
          </w:tcPr>
          <w:p>
            <w:pPr>
              <w:spacing w:after="0"/>
              <w:rPr>
                <w:sz w:val="16"/>
                <w:szCs w:val="16"/>
                <w:color w:val="auto"/>
              </w:rPr>
            </w:pPr>
          </w:p>
        </w:tc>
        <w:tc>
          <w:tcPr>
            <w:tcW w:w="164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rPr>
              <w:t>$ 268,455,000.00</w:t>
            </w:r>
          </w:p>
        </w:tc>
        <w:tc>
          <w:tcPr>
            <w:tcW w:w="20" w:type="dxa"/>
            <w:vAlign w:val="bottom"/>
          </w:tcPr>
          <w:p>
            <w:pPr>
              <w:spacing w:after="0"/>
              <w:rPr>
                <w:sz w:val="16"/>
                <w:szCs w:val="16"/>
                <w:color w:val="auto"/>
              </w:rPr>
            </w:pPr>
          </w:p>
        </w:tc>
        <w:tc>
          <w:tcPr>
            <w:tcW w:w="84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64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rPr>
              <w:t>$ 37,073.64</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value per</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0" w:type="dxa"/>
            <w:vAlign w:val="bottom"/>
            <w:tcBorders>
              <w:left w:val="single" w:sz="8" w:color="auto"/>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$ 268,455,000.00</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$ 37,073.64</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2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Net Fee Due:</w:t>
            </w:r>
          </w:p>
        </w:tc>
        <w:tc>
          <w:tcPr>
            <w:tcW w:w="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$ 37,073.64</w:t>
            </w: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Offering Note</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780" w:right="600"/>
        <w:spacing w:after="0" w:line="238" w:lineRule="auto"/>
        <w:rPr>
          <w:sz w:val="20"/>
          <w:szCs w:val="20"/>
          <w:color w:val="auto"/>
        </w:rPr>
      </w:pPr>
      <w:r>
        <w:rPr>
          <w:rFonts w:ascii="Arial" w:cs="Arial" w:eastAsia="Arial" w:hAnsi="Arial"/>
          <w:sz w:val="17"/>
          <w:szCs w:val="17"/>
          <w:color w:val="auto"/>
        </w:rPr>
        <w:t>In accordance with Rule 416 under the Securities Act of 1933, as amended (the "Securities Act"), this Registration Statement shall be deemed to cover any additional securities that may from time to time be offered or issued under the Molina Healthcare, Inc. 2025 Equity Incentive Plan (as amended, the "2025 Plan") to prevent dilution resulting from stock splits, stock dividends or similar transactions. The Amount Registered consists of 1,500,000 shares of common stock, par value $0.001 per share ("Common Stock"), of Molina Healthcare, Inc. (the "Registrant") available for issuance under the 2025 Plan pursuant to an amendment of the 2025 Plan that was approved by the Registrant's stockholders on May 6, 2026. The Proposed Maximum Offering Price Per Unit is estimated solely for purposes of computing the registration fee pursuant to Rules 457(c) and 457(h) of the Securities Act, and is based upon the average of the high and low prices of the shares of Common Stock, as reported on The New York Stock Exchange on May 21, 2026, which date is within five business days prior to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65405</wp:posOffset>
            </wp:positionV>
            <wp:extent cx="64255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6425565" cy="3873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34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7"/>
        </w:trPr>
        <w:tc>
          <w:tcPr>
            <w:tcW w:w="3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Unsold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92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10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Unsold</w:t>
            </w:r>
          </w:p>
        </w:tc>
        <w:tc>
          <w:tcPr>
            <w:tcW w:w="10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7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6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80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60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Fee</w:t>
            </w:r>
          </w:p>
        </w:tc>
        <w:tc>
          <w:tcPr>
            <w:tcW w:w="96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92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Title</w:t>
            </w:r>
          </w:p>
        </w:tc>
        <w:tc>
          <w:tcPr>
            <w:tcW w:w="10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10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7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0" w:type="dxa"/>
            <w:vAlign w:val="bottom"/>
          </w:tcPr>
          <w:p>
            <w:pPr>
              <w:spacing w:after="0"/>
              <w:rPr>
                <w:sz w:val="1"/>
                <w:szCs w:val="1"/>
                <w:color w:val="auto"/>
              </w:rPr>
            </w:pPr>
          </w:p>
        </w:tc>
      </w:tr>
      <w:tr>
        <w:trPr>
          <w:trHeight w:val="170"/>
        </w:trPr>
        <w:tc>
          <w:tcPr>
            <w:tcW w:w="3340" w:type="dxa"/>
            <w:vAlign w:val="bottom"/>
          </w:tcPr>
          <w:p>
            <w:pPr>
              <w:jc w:val="center"/>
              <w:ind w:left="1635"/>
              <w:spacing w:after="0" w:line="170" w:lineRule="exact"/>
              <w:rPr>
                <w:sz w:val="20"/>
                <w:szCs w:val="20"/>
                <w:color w:val="auto"/>
              </w:rPr>
            </w:pPr>
            <w:r>
              <w:rPr>
                <w:rFonts w:ascii="Arial" w:cs="Arial" w:eastAsia="Arial" w:hAnsi="Arial"/>
                <w:sz w:val="17"/>
                <w:szCs w:val="17"/>
                <w:b w:val="1"/>
                <w:bCs w:val="1"/>
                <w:color w:val="auto"/>
                <w:w w:val="99"/>
              </w:rPr>
              <w:t>Registrant or Filer</w:t>
            </w:r>
          </w:p>
        </w:tc>
        <w:tc>
          <w:tcPr>
            <w:tcW w:w="60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rPr>
              <w:t>or</w:t>
            </w:r>
          </w:p>
        </w:tc>
        <w:tc>
          <w:tcPr>
            <w:tcW w:w="80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5"/>
              </w:rPr>
              <w:t>File</w:t>
            </w:r>
          </w:p>
        </w:tc>
        <w:tc>
          <w:tcPr>
            <w:tcW w:w="620" w:type="dxa"/>
            <w:vAlign w:val="bottom"/>
            <w:vMerge w:val="continue"/>
          </w:tcPr>
          <w:p>
            <w:pPr>
              <w:spacing w:after="0"/>
              <w:rPr>
                <w:sz w:val="14"/>
                <w:szCs w:val="14"/>
                <w:color w:val="auto"/>
              </w:rPr>
            </w:pPr>
          </w:p>
        </w:tc>
        <w:tc>
          <w:tcPr>
            <w:tcW w:w="60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6"/>
              </w:rPr>
              <w:t>Filing</w:t>
            </w:r>
          </w:p>
        </w:tc>
        <w:tc>
          <w:tcPr>
            <w:tcW w:w="740" w:type="dxa"/>
            <w:vAlign w:val="bottom"/>
            <w:vMerge w:val="continue"/>
          </w:tcPr>
          <w:p>
            <w:pPr>
              <w:spacing w:after="0"/>
              <w:rPr>
                <w:sz w:val="14"/>
                <w:szCs w:val="14"/>
                <w:color w:val="auto"/>
              </w:rPr>
            </w:pPr>
          </w:p>
        </w:tc>
        <w:tc>
          <w:tcPr>
            <w:tcW w:w="2880" w:type="dxa"/>
            <w:vAlign w:val="bottom"/>
            <w:gridSpan w:val="3"/>
          </w:tcPr>
          <w:p>
            <w:pPr>
              <w:jc w:val="center"/>
              <w:spacing w:after="0" w:line="170" w:lineRule="exact"/>
              <w:rPr>
                <w:sz w:val="20"/>
                <w:szCs w:val="20"/>
                <w:color w:val="auto"/>
              </w:rPr>
            </w:pPr>
            <w:r>
              <w:rPr>
                <w:rFonts w:ascii="Arial" w:cs="Arial" w:eastAsia="Arial" w:hAnsi="Arial"/>
                <w:sz w:val="17"/>
                <w:szCs w:val="17"/>
                <w:b w:val="1"/>
                <w:bCs w:val="1"/>
                <w:color w:val="auto"/>
              </w:rPr>
              <w:t>Associated Associated Associated</w:t>
            </w:r>
          </w:p>
        </w:tc>
        <w:tc>
          <w:tcPr>
            <w:tcW w:w="100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9"/>
              </w:rPr>
              <w:t>Amount</w:t>
            </w:r>
          </w:p>
        </w:tc>
        <w:tc>
          <w:tcPr>
            <w:tcW w:w="70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1"/>
        </w:trPr>
        <w:tc>
          <w:tcPr>
            <w:tcW w:w="3340" w:type="dxa"/>
            <w:vAlign w:val="bottom"/>
          </w:tcPr>
          <w:p>
            <w:pPr>
              <w:jc w:val="center"/>
              <w:ind w:left="1635"/>
              <w:spacing w:after="0" w:line="191" w:lineRule="exact"/>
              <w:rPr>
                <w:sz w:val="20"/>
                <w:szCs w:val="20"/>
                <w:color w:val="auto"/>
              </w:rPr>
            </w:pPr>
            <w:r>
              <w:rPr>
                <w:rFonts w:ascii="Arial" w:cs="Arial" w:eastAsia="Arial" w:hAnsi="Arial"/>
                <w:sz w:val="17"/>
                <w:szCs w:val="17"/>
                <w:b w:val="1"/>
                <w:bCs w:val="1"/>
                <w:color w:val="auto"/>
                <w:w w:val="99"/>
              </w:rPr>
              <w:t>Name</w:t>
            </w:r>
          </w:p>
        </w:tc>
        <w:tc>
          <w:tcPr>
            <w:tcW w:w="6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8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62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6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74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96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92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10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10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7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5"/>
              </w:rPr>
              <w:t>Type</w:t>
            </w:r>
          </w:p>
        </w:tc>
        <w:tc>
          <w:tcPr>
            <w:tcW w:w="800" w:type="dxa"/>
            <w:vAlign w:val="bottom"/>
          </w:tcPr>
          <w:p>
            <w:pPr>
              <w:spacing w:after="0"/>
              <w:rPr>
                <w:sz w:val="16"/>
                <w:szCs w:val="16"/>
                <w:color w:val="auto"/>
              </w:rPr>
            </w:pPr>
          </w:p>
        </w:tc>
        <w:tc>
          <w:tcPr>
            <w:tcW w:w="62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60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Offset</w:t>
            </w:r>
          </w:p>
        </w:tc>
        <w:tc>
          <w:tcPr>
            <w:tcW w:w="9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7"/>
              </w:rPr>
              <w:t>Offset</w:t>
            </w:r>
          </w:p>
        </w:tc>
        <w:tc>
          <w:tcPr>
            <w:tcW w:w="10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7"/>
              </w:rPr>
              <w:t>Offset</w:t>
            </w:r>
          </w:p>
        </w:tc>
        <w:tc>
          <w:tcPr>
            <w:tcW w:w="10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7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Offset</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Offset</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rPr>
              <w:t>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-875030</wp:posOffset>
            </wp:positionV>
            <wp:extent cx="7167880" cy="1717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67880" cy="1717040"/>
                    </a:xfrm>
                    <a:prstGeom prst="rect">
                      <a:avLst/>
                    </a:prstGeom>
                    <a:noFill/>
                  </pic:spPr>
                </pic:pic>
              </a:graphicData>
            </a:graphic>
          </wp:anchor>
        </w:drawing>
      </w:r>
    </w:p>
    <w:p>
      <w:pPr>
        <w:ind w:left="9740"/>
        <w:spacing w:after="0"/>
        <w:rPr>
          <w:sz w:val="20"/>
          <w:szCs w:val="20"/>
          <w:color w:val="auto"/>
        </w:rPr>
      </w:pPr>
      <w:r>
        <w:rPr>
          <w:rFonts w:ascii="Arial" w:cs="Arial" w:eastAsia="Arial" w:hAnsi="Arial"/>
          <w:sz w:val="17"/>
          <w:szCs w:val="17"/>
          <w:b w:val="1"/>
          <w:bCs w:val="1"/>
          <w:color w:val="auto"/>
        </w:rPr>
        <w:t>Claimed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457(p)</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ectPr>
          <w:pgSz w:w="11900" w:h="16838" w:orient="portrait"/>
          <w:cols w:equalWidth="0" w:num="1">
            <w:col w:w="11280"/>
          </w:cols>
          <w:pgMar w:left="300" w:top="142" w:right="3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Arial" w:cs="Arial" w:eastAsia="Arial" w:hAnsi="Arial"/>
          <w:sz w:val="14"/>
          <w:szCs w:val="14"/>
          <w:b w:val="1"/>
          <w:bCs w:val="1"/>
          <w:color w:val="auto"/>
        </w:rPr>
        <w:t>Exhibit 23.1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74" w:lineRule="exact"/>
        <w:rPr>
          <w:sz w:val="20"/>
          <w:szCs w:val="20"/>
          <w:color w:val="auto"/>
        </w:rPr>
      </w:pPr>
    </w:p>
    <w:p>
      <w:pPr>
        <w:jc w:val="both"/>
        <w:spacing w:after="0" w:line="390" w:lineRule="auto"/>
        <w:rPr>
          <w:sz w:val="20"/>
          <w:szCs w:val="20"/>
          <w:color w:val="auto"/>
        </w:rPr>
      </w:pPr>
      <w:r>
        <w:rPr>
          <w:rFonts w:ascii="Arial" w:cs="Arial" w:eastAsia="Arial" w:hAnsi="Arial"/>
          <w:sz w:val="14"/>
          <w:szCs w:val="14"/>
          <w:color w:val="auto"/>
        </w:rPr>
        <w:t>We consent to the incorporation by reference in the Registration Statement (Form S-8) pertaining to the Molina Healthcare, Inc. 2025 Equity Incentive Plan of our reports dated February 10, 2026, with respect to the consolidated financial statements of Molina Healthcare, Inc. and the effectiveness of internal control over financial reporting of Molina Healthcare, Inc. included in its Annual Report (Form 10-K) for the year ended December 31, 2025, filed with the Securities and Exchange Commission.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Los Angeles, California</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May 27, 2026</w:t>
      </w:r>
    </w:p>
    <w:sectPr>
      <w:pgSz w:w="11900" w:h="16838" w:orient="portrait"/>
      <w:cols w:equalWidth="0" w:num="1">
        <w:col w:w="11280"/>
      </w:cols>
      <w:pgMar w:left="300" w:top="118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jpe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3" Type="http://schemas.openxmlformats.org/officeDocument/2006/relationships/hyperlink" Target="https://www.sec.gov/Archives/edgar/data/1179929/000089843002004683/dex32.txt" TargetMode="External"/><Relationship Id="rId14" Type="http://schemas.openxmlformats.org/officeDocument/2006/relationships/hyperlink" Target="https://www.sec.gov/Archives/edgar/data/1179929/000117992924000033/ex32_certificateofamendm.htm" TargetMode="External"/><Relationship Id="rId15" Type="http://schemas.openxmlformats.org/officeDocument/2006/relationships/hyperlink" Target="https://www.sec.gov/Archives/edgar/data/1179929/000117992924000033/ex33_certificateofamendm.htm" TargetMode="External"/><Relationship Id="rId16" Type="http://schemas.openxmlformats.org/officeDocument/2006/relationships/hyperlink" Target="https://www.sec.gov/Archives/edgar/data/1179929/000117992926000026/exhibit31_certificateofame.htm" TargetMode="External"/><Relationship Id="rId17" Type="http://schemas.openxmlformats.org/officeDocument/2006/relationships/hyperlink" Target="https://www.sec.gov/Archives/edgar/data/1179929/000117992926000026/exhibit32amendedandresta.htm" TargetMode="External"/><Relationship Id="rId18" Type="http://schemas.openxmlformats.org/officeDocument/2006/relationships/hyperlink" Target="https://www.sec.gov/Archives/edgar/data/1179929/000117992925000075/ex101_mhi2025equityincenti.htm" TargetMode="External"/><Relationship Id="rId19" Type="http://schemas.openxmlformats.org/officeDocument/2006/relationships/hyperlink" Target="https://www.sec.gov/Archives/edgar/data/1179929/000117992926000026/exhibit101_amendmentnumb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2026-05-27T17:00:03Z</dcterms:created>
  <dcterms:modified xsi:type="dcterms:W3CDTF">2026-05-27T17:00:03Z</dcterms:modified>
</cp:coreProperties>
</file>