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6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10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100" w:after="1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16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60" w:after="16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Date of Report (Date of earliest event reported): October 21, 2026</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w:t>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 xml:space="preserve">MOLINA HEALTHCARE, INC. </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002" w:type="dxa"/>
        <w:jc w:val="center"/>
        <w:tblInd w:w="0" w:type="dxa"/>
        <w:tblLayout w:type="fixed"/>
        <w:tblCellMar>
          <w:top w:w="28" w:type="dxa"/>
          <w:left w:w="28" w:type="dxa"/>
          <w:bottom w:w="28" w:type="dxa"/>
          <w:right w:w="28" w:type="dxa"/>
        </w:tblCellMar>
      </w:tblPr>
      <w:tblGrid>
        <w:gridCol w:w="1515"/>
        <w:gridCol w:w="1330"/>
        <w:gridCol w:w="1339"/>
        <w:gridCol w:w="867"/>
        <w:gridCol w:w="867"/>
        <w:gridCol w:w="875"/>
        <w:gridCol w:w="937"/>
        <w:gridCol w:w="937"/>
        <w:gridCol w:w="1335"/>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1-31719</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13-4204626</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(State or other jurisdiction of incorporation)</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(Commission File Number)</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(IRS Employer Identification No.)</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______________</w:t>
      </w:r>
    </w:p>
    <w:tbl>
      <w:tblPr>
        <w:tblW w:w="5894" w:type="dxa"/>
        <w:jc w:val="center"/>
        <w:tblInd w:w="0" w:type="dxa"/>
        <w:tblLayout w:type="fixed"/>
        <w:tblCellMar>
          <w:top w:w="28" w:type="dxa"/>
          <w:left w:w="28" w:type="dxa"/>
          <w:bottom w:w="28" w:type="dxa"/>
          <w:right w:w="28" w:type="dxa"/>
        </w:tblCellMar>
      </w:tblPr>
      <w:tblGrid>
        <w:gridCol w:w="908"/>
        <w:gridCol w:w="797"/>
        <w:gridCol w:w="799"/>
        <w:gridCol w:w="424"/>
        <w:gridCol w:w="424"/>
        <w:gridCol w:w="426"/>
        <w:gridCol w:w="335"/>
        <w:gridCol w:w="335"/>
        <w:gridCol w:w="336"/>
        <w:gridCol w:w="325"/>
        <w:gridCol w:w="325"/>
        <w:gridCol w:w="460"/>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200 Oceangate, Suite 100,</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 Beach,</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California</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90802</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(Address of principal executive offices)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(Zip Code)</w:t>
            </w:r>
          </w:p>
        </w:tc>
      </w:tr>
    </w:tbl>
    <w:p>
      <w:pPr>
        <w:pStyle w:val="TextBody"/>
        <w:bidi w:val="0"/>
        <w:spacing w:lineRule="auto" w:line="288" w:before="60" w:after="160"/>
        <w:jc w:val="center"/>
        <w:rPr>
          <w:rFonts w:ascii="Arial;sans-serif" w:hAnsi="Arial;sans-serif"/>
          <w:b/>
          <w:color w:val="000000"/>
          <w:sz w:val="20"/>
        </w:rPr>
      </w:pPr>
      <w:r>
        <w:rPr>
          <w:rFonts w:ascii="Arial;sans-serif" w:hAnsi="Arial;sans-serif"/>
          <w:b/>
          <w:color w:val="000000"/>
          <w:sz w:val="20"/>
        </w:rPr>
        <w:t xml:space="preserve">Registrant’s telephone number, including area code: (562) 435-3666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(Former name or former address, if changed since last report.)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160" w:after="160"/>
        <w:jc w:val="left"/>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237" w:type="dxa"/>
        <w:jc w:val="center"/>
        <w:tblInd w:w="0" w:type="dxa"/>
        <w:tblLayout w:type="fixed"/>
        <w:tblCellMar>
          <w:top w:w="28" w:type="dxa"/>
          <w:left w:w="28" w:type="dxa"/>
          <w:bottom w:w="28" w:type="dxa"/>
          <w:right w:w="28" w:type="dxa"/>
        </w:tblCellMar>
      </w:tblPr>
      <w:tblGrid>
        <w:gridCol w:w="1137"/>
        <w:gridCol w:w="1001"/>
        <w:gridCol w:w="1011"/>
        <w:gridCol w:w="609"/>
        <w:gridCol w:w="609"/>
        <w:gridCol w:w="611"/>
        <w:gridCol w:w="1245"/>
        <w:gridCol w:w="1245"/>
        <w:gridCol w:w="1769"/>
      </w:tblGrid>
      <w:tr>
        <w:trPr/>
        <w:tc>
          <w:tcPr>
            <w:tcW w:w="113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Common Stock, $0.001 Par Value </w:t>
            </w:r>
          </w:p>
        </w:tc>
        <w:tc>
          <w:tcPr>
            <w:tcW w:w="18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MOH</w:t>
            </w:r>
          </w:p>
        </w:tc>
        <w:tc>
          <w:tcPr>
            <w:tcW w:w="42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1" w:type="dxa"/>
        <w:jc w:val="center"/>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160" w:after="160"/>
              <w:jc w:val="righ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160"/>
              <w:jc w:val="right"/>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3560"/>
        <w:gridCol w:w="3126"/>
        <w:gridCol w:w="3145"/>
        <w:gridCol w:w="109"/>
        <w:gridCol w:w="109"/>
        <w:gridCol w:w="156"/>
      </w:tblGrid>
      <w:tr>
        <w:trPr/>
        <w:tc>
          <w:tcPr>
            <w:tcW w:w="3560"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vMerge w:val="restart"/>
            <w:tcBorders/>
            <w:tcMar>
              <w:top w:w="0" w:type="dxa"/>
              <w:left w:w="0" w:type="dxa"/>
              <w:bottom w:w="0" w:type="dxa"/>
              <w:right w:w="0" w:type="dxa"/>
            </w:tcMar>
            <w:vAlign w:val="center"/>
          </w:tcPr>
          <w:p>
            <w:pPr>
              <w:pStyle w:val="TableContents"/>
              <w:bidi w:val="0"/>
              <w:spacing w:lineRule="auto" w:line="240" w:before="160" w:after="16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lineRule="auto" w:line="240" w:before="160" w:after="160"/>
              <w:jc w:val="right"/>
              <w:rPr>
                <w:color w:val="000000"/>
              </w:rPr>
            </w:pPr>
            <w:r>
              <w:rPr>
                <w:color w:val="000000"/>
              </w:rPr>
              <w: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October 21, 2026, Molina Healthcare, Inc. (the “Company”) issued a press release reporting its financial results for the third quarter ended September 30, 2026 and reaffirming the Company’s full-year 2026 earnings guidance. The full text of the press release is included as Exhibit 99.1 to this report. The information contained in the Company’s website cited in the press release is not part of this report.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Note: The information in this Form 8-K and the exhibits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tbl>
      <w:tblPr>
        <w:tblW w:w="8114" w:type="dxa"/>
        <w:jc w:val="left"/>
        <w:tblInd w:w="0" w:type="dxa"/>
        <w:tblLayout w:type="fixed"/>
        <w:tblCellMar>
          <w:top w:w="28" w:type="dxa"/>
          <w:left w:w="28" w:type="dxa"/>
          <w:bottom w:w="28" w:type="dxa"/>
          <w:right w:w="28" w:type="dxa"/>
        </w:tblCellMar>
      </w:tblPr>
      <w:tblGrid>
        <w:gridCol w:w="418"/>
        <w:gridCol w:w="367"/>
        <w:gridCol w:w="370"/>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3q26_er.htm">
              <w:r>
                <w:rPr>
                  <w:rStyle w:val="InternetLink"/>
                  <w:rFonts w:ascii="Arial;sans-serif" w:hAnsi="Arial;sans-serif"/>
                  <w:b w:val="false"/>
                  <w:color w:val="0F7C7F"/>
                  <w:sz w:val="20"/>
                  <w:u w:val="single"/>
                </w:rPr>
                <w:t>Press release of Molina Healthcare, Inc., issued October 21,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29" w:type="dxa"/>
        <w:jc w:val="center"/>
        <w:tblInd w:w="0" w:type="dxa"/>
        <w:tblLayout w:type="fixed"/>
        <w:tblCellMar>
          <w:top w:w="28" w:type="dxa"/>
          <w:left w:w="28" w:type="dxa"/>
          <w:bottom w:w="28" w:type="dxa"/>
          <w:right w:w="28" w:type="dxa"/>
        </w:tblCellMar>
      </w:tblPr>
      <w:tblGrid>
        <w:gridCol w:w="211"/>
        <w:gridCol w:w="186"/>
        <w:gridCol w:w="188"/>
        <w:gridCol w:w="534"/>
        <w:gridCol w:w="534"/>
        <w:gridCol w:w="536"/>
        <w:gridCol w:w="432"/>
        <w:gridCol w:w="432"/>
        <w:gridCol w:w="432"/>
        <w:gridCol w:w="889"/>
        <w:gridCol w:w="889"/>
        <w:gridCol w:w="126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MOLINA HEALTHCARE,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21,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By:</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Jeff D. Barlow</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 D. Barlow</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Officer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524000" cy="6286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24000" cy="62865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News Release </w:t>
      </w:r>
    </w:p>
    <w:p>
      <w:pPr>
        <w:pStyle w:val="TextBody"/>
        <w:bidi w:val="0"/>
        <w:spacing w:lineRule="auto" w:line="288" w:before="0" w:after="0"/>
        <w:jc w:val="left"/>
        <w:rPr/>
      </w:pPr>
      <w:r>
        <w:rPr>
          <w:rFonts w:ascii="Arial;sans-serif" w:hAnsi="Arial;sans-serif"/>
          <w:b/>
          <w:color w:val="000000"/>
          <w:sz w:val="22"/>
        </w:rPr>
        <w:t xml:space="preserve">Investor Contact: </w:t>
      </w:r>
      <w:r>
        <w:rPr>
          <w:rFonts w:ascii="Arial;sans-serif" w:hAnsi="Arial;sans-serif"/>
          <w:b w:val="false"/>
          <w:color w:val="000000"/>
          <w:sz w:val="22"/>
        </w:rPr>
        <w:t xml:space="preserve">Jeffrey Geyer, </w:t>
      </w:r>
      <w:r>
        <w:rPr>
          <w:rFonts w:ascii="Arial;sans-serif" w:hAnsi="Arial;sans-serif"/>
          <w:b w:val="false"/>
          <w:color w:val="000000"/>
          <w:sz w:val="22"/>
          <w:u w:val="single"/>
        </w:rPr>
        <w:t>Jeffrey.Geyer@molinahealthcare.com</w:t>
      </w:r>
      <w:r>
        <w:rPr>
          <w:rFonts w:ascii="Arial;sans-serif" w:hAnsi="Arial;sans-serif"/>
          <w:b w:val="false"/>
          <w:color w:val="000000"/>
          <w:sz w:val="22"/>
        </w:rPr>
        <w:t>, 305-317-3012</w:t>
      </w:r>
    </w:p>
    <w:p>
      <w:pPr>
        <w:pStyle w:val="TextBody"/>
        <w:bidi w:val="0"/>
        <w:spacing w:lineRule="auto" w:line="288" w:before="0" w:after="0"/>
        <w:jc w:val="left"/>
        <w:rPr/>
      </w:pPr>
      <w:r>
        <w:rPr>
          <w:rFonts w:ascii="Arial;sans-serif" w:hAnsi="Arial;sans-serif"/>
          <w:b/>
          <w:color w:val="000000"/>
          <w:sz w:val="22"/>
        </w:rPr>
        <w:t>Media Contact:</w:t>
      </w:r>
      <w:r>
        <w:rPr>
          <w:color w:val="000000"/>
        </w:rPr>
        <w:t xml:space="preserve"> </w:t>
      </w:r>
      <w:r>
        <w:rPr>
          <w:rFonts w:ascii="Arial;sans-serif" w:hAnsi="Arial;sans-serif"/>
          <w:b w:val="false"/>
          <w:color w:val="000000"/>
          <w:sz w:val="22"/>
        </w:rPr>
        <w:t xml:space="preserve">Caroline Zubieta, </w:t>
      </w:r>
      <w:r>
        <w:rPr>
          <w:rFonts w:ascii="Arial;sans-serif" w:hAnsi="Arial;sans-serif"/>
          <w:b w:val="false"/>
          <w:color w:val="000000"/>
          <w:sz w:val="22"/>
          <w:u w:val="single"/>
        </w:rPr>
        <w:t>Caroline.Zubieta@molinahealthcare.com</w:t>
      </w:r>
      <w:r>
        <w:rPr>
          <w:rFonts w:ascii="Arial;sans-serif" w:hAnsi="Arial;sans-serif"/>
          <w:b w:val="false"/>
          <w:color w:val="000000"/>
          <w:sz w:val="22"/>
        </w:rPr>
        <w:t>, 562-542-1845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color w:val="000000"/>
          <w:sz w:val="22"/>
        </w:rPr>
      </w:pPr>
      <w:r>
        <w:rPr>
          <w:rFonts w:ascii="Arial;sans-serif" w:hAnsi="Arial;sans-serif"/>
          <w:b/>
          <w:color w:val="000000"/>
          <w:sz w:val="22"/>
        </w:rPr>
        <w:t>Molina Healthcare Reports Third Quarter 2026 Financial Results</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Reaffirms Full Year 2026 Earnings Guidance</w:t>
      </w:r>
    </w:p>
    <w:p>
      <w:pPr>
        <w:pStyle w:val="TextBody"/>
        <w:bidi w:val="0"/>
        <w:spacing w:lineRule="auto" w:line="288" w:before="180" w:after="283"/>
        <w:jc w:val="both"/>
        <w:rPr/>
      </w:pPr>
      <w:r>
        <w:rPr>
          <w:rFonts w:ascii="Arial;sans-serif" w:hAnsi="Arial;sans-serif"/>
          <w:b/>
          <w:color w:val="000000"/>
          <w:sz w:val="22"/>
        </w:rPr>
        <w:t>Long Beach, Calif., October 21, 2026</w:t>
      </w:r>
      <w:r>
        <w:rPr>
          <w:color w:val="000000"/>
        </w:rPr>
        <w:t xml:space="preserve"> – </w:t>
      </w:r>
      <w:r>
        <w:rPr>
          <w:rFonts w:ascii="Arial;sans-serif" w:hAnsi="Arial;sans-serif"/>
          <w:b w:val="false"/>
          <w:color w:val="000000"/>
          <w:sz w:val="22"/>
        </w:rPr>
        <w:t xml:space="preserve">Molina Healthcare, Inc. (NYSE: MOH) (the “Company”) today reported third quarter 2026 GAAP income per diluted share of $0.73 and adjusted income per diluted share of $0.89. Financial results are summarized below: </w:t>
      </w:r>
    </w:p>
    <w:tbl>
      <w:tblPr>
        <w:tblW w:w="7386" w:type="dxa"/>
        <w:jc w:val="center"/>
        <w:tblInd w:w="0" w:type="dxa"/>
        <w:tblLayout w:type="fixed"/>
        <w:tblCellMar>
          <w:top w:w="28" w:type="dxa"/>
          <w:left w:w="28" w:type="dxa"/>
          <w:bottom w:w="28" w:type="dxa"/>
          <w:right w:w="28" w:type="dxa"/>
        </w:tblCellMar>
      </w:tblPr>
      <w:tblGrid>
        <w:gridCol w:w="863"/>
        <w:gridCol w:w="759"/>
        <w:gridCol w:w="762"/>
        <w:gridCol w:w="263"/>
        <w:gridCol w:w="218"/>
        <w:gridCol w:w="434"/>
        <w:gridCol w:w="165"/>
        <w:gridCol w:w="165"/>
        <w:gridCol w:w="165"/>
        <w:gridCol w:w="263"/>
        <w:gridCol w:w="218"/>
        <w:gridCol w:w="434"/>
        <w:gridCol w:w="109"/>
        <w:gridCol w:w="109"/>
        <w:gridCol w:w="109"/>
        <w:gridCol w:w="263"/>
        <w:gridCol w:w="218"/>
        <w:gridCol w:w="434"/>
        <w:gridCol w:w="155"/>
        <w:gridCol w:w="155"/>
        <w:gridCol w:w="155"/>
        <w:gridCol w:w="262"/>
        <w:gridCol w:w="219"/>
        <w:gridCol w:w="489"/>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9"/>
              </w:rP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per-share results)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Revenue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$30,873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$32,337</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$11,082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$32,752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$34,051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GAAP:</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$632</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EPS – Diluted</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$11.79</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Care Ratio (MCR)</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92.9</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G&amp;A Ratio</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Margin</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EPS – Diluted</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$13.49</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G&amp;A Ratio</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Margin</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4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7"/>
              </w:rPr>
            </w:pPr>
            <w:r>
              <w:rPr>
                <w:rFonts w:ascii="Arial;sans-serif" w:hAnsi="Arial;sans-serif"/>
                <w:b w:val="false"/>
                <w:i/>
                <w:color w:val="000000"/>
                <w:sz w:val="17"/>
              </w:rPr>
              <w:t xml:space="preserve">See the Reconciliation of Unaudited Non-GAAP Financial Measures at the end of this release.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Quarter Highlights</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As of September 30, 2026, the Company served approximately 4.9 million members.</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 xml:space="preserve">Premium revenue was approximately $10.5 billion for the third quarter of 2026. </w:t>
      </w:r>
    </w:p>
    <w:p>
      <w:pPr>
        <w:pStyle w:val="TextBody"/>
        <w:bidi w:val="0"/>
        <w:spacing w:lineRule="auto" w:line="288" w:before="100" w:after="100"/>
        <w:ind w:left="0" w:right="0" w:hanging="360"/>
        <w:jc w:val="both"/>
        <w:rPr/>
      </w:pPr>
      <w:r>
        <w:rPr>
          <w:color w:val="000000"/>
        </w:rPr>
        <w:t>•</w:t>
      </w:r>
      <w:r>
        <w:rPr>
          <w:rFonts w:ascii="Arial;sans-serif" w:hAnsi="Arial;sans-serif"/>
          <w:b w:val="false"/>
          <w:color w:val="000000"/>
          <w:sz w:val="22"/>
        </w:rPr>
        <w:t>Third quarter 2026 GAAP income per diluted share was $0.73 and adjusted income per diluted share was $0.89.</w:t>
      </w:r>
    </w:p>
    <w:p>
      <w:pPr>
        <w:pStyle w:val="TextBody"/>
        <w:bidi w:val="0"/>
        <w:spacing w:lineRule="auto" w:line="288" w:before="100" w:after="283"/>
        <w:ind w:left="0" w:right="0" w:hanging="360"/>
        <w:jc w:val="both"/>
        <w:rPr/>
      </w:pPr>
      <w:r>
        <w:rPr>
          <w:color w:val="000000"/>
        </w:rPr>
        <w:t>•</w:t>
      </w:r>
      <w:r>
        <w:rPr>
          <w:rFonts w:ascii="Arial;sans-serif" w:hAnsi="Arial;sans-serif"/>
          <w:b w:val="false"/>
          <w:color w:val="000000"/>
          <w:sz w:val="22"/>
        </w:rPr>
        <w:t>The Company reaffirmed its full year 2026 guidance of expected premium revenue of approximately $42 billion and adjusted earnings of at least $5.25 per diluted share.</w:t>
      </w:r>
    </w:p>
    <w:p>
      <w:pPr>
        <w:pStyle w:val="TextBody"/>
        <w:bidi w:val="0"/>
        <w:spacing w:before="100" w:after="283"/>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We are pleased with our third quarter results in this challenging environment and reaffirm our full year guidance,” said Joseph Zubretsky, President and Chief Executive Officer. “With the apparent plateauing of medical cost trend, which remains at elevated levels, and the strength of recent rate updates for 2027, we believe we are likely observing the beginning of the turn in Medicaid margins.”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ind w:left="0" w:right="0" w:hanging="360"/>
        <w:jc w:val="both"/>
        <w:rPr>
          <w:rFonts w:ascii="Arial;sans-serif" w:hAnsi="Arial;sans-serif"/>
          <w:b/>
          <w:color w:val="000000"/>
          <w:sz w:val="22"/>
        </w:rPr>
      </w:pPr>
      <w:r>
        <w:rPr>
          <w:rFonts w:ascii="Arial;sans-serif" w:hAnsi="Arial;sans-serif"/>
          <w:b/>
          <w:color w:val="000000"/>
          <w:sz w:val="22"/>
        </w:rPr>
        <w:t>Premium Revenue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Premium revenue was approximately $10.5 billion for the third quarter of 2026, a decrease of 4% year over year. The lower premium revenue reflects the impact of lower membership in Medicaid and Marketplace, partially offset by rate updates.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Net Income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GAAP net income for the third quarter of 2026 was $38 million, or $0.73 per diluted share, a decrease of 52% year over year. Adjusted net income for the third quarter of 2026 was $46 million, or $0.89 per diluted share, a decrease of 53% year over year. The decrease is attributed mainly to a higher consolidated MCR.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Medical Care Ratio (MCR)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consolidated MCR for the third quarter of 2026 was 92.9%.</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The Medicaid MCR for the third quarter of 2026 was 93.0% and in line with the Company’s expectations, reflecting rate updates and stable medical cost trend.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The Medicare MCR for the third quarter of 2026 was 93.0% and in line with the Company’s expectations, reflecting stable medical cost trend.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Marketplace MCR for the third quarter of 2026 was 92.5% and in line with normal seasonality and the Company’s expectations.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General and Administrative Expense Ratio</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G&amp;A ratio and the adjusted G&amp;A ratio for the third quarter of 2026 were 6.4% and 6.3%, respectively, reflecting continued operating discipline.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Balance Sheet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Cash and investments at the parent company were approximately $608 million as of September 30, 2026, compared to $223 million as of December 31, 2025.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Days in claims payable at September 30, 2026, was 44, consistent with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Cash Flow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Operating cash flow for the nine months ended September 30, 2026, was $629 million, compared to an outflow of $237 million for the nine months ended September 30, 2025. The increase compared to the prior year was driven mainly by lower government receivable and payable settlements in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2026 Guidance</w:t>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Premium revenue guidance for the full year is unchanged at approximately $42 billion.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expects its full year 2026 GAAP earnings to be at least $2.38 per diluted share and reaffirmed its full year 2026 adjusted earnings of at least $5.25 per diluted share. Guidance metrics across all segments are also reaffirmed. Full year earnings guidance includes a loss of $1.50 per share due to the implementation of the new Florida Medicaid contract in the fourth quarter of 2026 and a loss of $1.00 per share due to performance of the traditional MAPD product, which the Company previously announced it will exit for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both"/>
        <w:rPr/>
      </w:pPr>
      <w:r>
        <w:rPr>
          <w:rFonts w:ascii="Arial;sans-serif" w:hAnsi="Arial;sans-serif"/>
          <w:b w:val="false"/>
          <w:color w:val="000000"/>
          <w:sz w:val="22"/>
        </w:rPr>
        <w:t>Management will host a conference call and webcast to discuss Molina Healthcare’s third quarter ended September 30, 2026 results, at 8:00 a.m. Eastern Time on Thursday, October 22, 2026. The number to call for the interactive teleconference is (877) 883-0383 and the confirmation number is 6534841. A telephonic replay of the conference call will be available through Thursday, October 29, 2026, by dialing (855) 669-9658 and entering confirmation number 4361465</w:t>
      </w:r>
      <w:r>
        <w:rPr>
          <w:rFonts w:ascii="Arial;sans-serif" w:hAnsi="Arial;sans-serif"/>
          <w:b w:val="false"/>
          <w:color w:val="000000"/>
          <w:sz w:val="22"/>
          <w:shd w:fill="FFFFFF" w:val="clear"/>
        </w:rPr>
        <w:t>.</w:t>
      </w:r>
      <w:r>
        <w:rPr>
          <w:color w:val="000000"/>
        </w:rPr>
        <w:t xml:space="preserve"> </w:t>
      </w:r>
      <w:r>
        <w:rPr>
          <w:rFonts w:ascii="Arial;sans-serif" w:hAnsi="Arial;sans-serif"/>
          <w:b w:val="false"/>
          <w:color w:val="000000"/>
          <w:sz w:val="22"/>
        </w:rPr>
        <w:t xml:space="preserve">A live audio broadcast of this conference call will be available on Molina Healthcare’s investor relations website, </w:t>
      </w:r>
      <w:r>
        <w:rPr>
          <w:rFonts w:ascii="Arial;sans-serif" w:hAnsi="Arial;sans-serif"/>
          <w:b w:val="false"/>
          <w:color w:val="000000"/>
          <w:sz w:val="22"/>
          <w:u w:val="single"/>
        </w:rPr>
        <w:t>investors.molinahealthcare.com</w:t>
      </w:r>
      <w:r>
        <w:rPr>
          <w:rFonts w:ascii="Arial;sans-serif" w:hAnsi="Arial;sans-serif"/>
          <w:b w:val="false"/>
          <w:color w:val="000000"/>
          <w:sz w:val="22"/>
        </w:rPr>
        <w:t>. A 30-day online replay will be available approximately an hour following the conclusion of the live broadcast.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Molina Healthcare</w:t>
      </w:r>
    </w:p>
    <w:p>
      <w:pPr>
        <w:pStyle w:val="TextBody"/>
        <w:bidi w:val="0"/>
        <w:spacing w:lineRule="auto" w:line="288" w:before="0" w:after="0"/>
        <w:jc w:val="both"/>
        <w:rPr/>
      </w:pPr>
      <w:r>
        <w:rPr>
          <w:rFonts w:ascii="Arial;sans-serif" w:hAnsi="Arial;sans-serif"/>
          <w:b w:val="false"/>
          <w:color w:val="000000"/>
          <w:sz w:val="22"/>
        </w:rPr>
        <w:t xml:space="preserve">Molina Healthcare, Inc., a FORTUNE 500 company, provides managed healthcare services under the Medicaid and Medicare programs and through the state insurance marketplaces. For more information about Molina Healthcare, please visit </w:t>
      </w:r>
      <w:r>
        <w:rPr>
          <w:rFonts w:ascii="Arial;sans-serif" w:hAnsi="Arial;sans-serif"/>
          <w:b w:val="false"/>
          <w:color w:val="000000"/>
          <w:sz w:val="22"/>
          <w:u w:val="single"/>
        </w:rPr>
        <w:t>molinahealthcare.com</w:t>
      </w:r>
      <w:r>
        <w:rPr>
          <w:rFonts w:ascii="Arial;sans-serif" w:hAnsi="Arial;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Safe Harbor Statement under the Private Securities Litigation Reform Act of 1995</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earnings release and the Company’s accompanying oral remarks contain forward-looking statements. The Company intends such forward-looking statements to be covered under the safe harbor provisions for forward-looking statements contained in Section 27A of the Securities Act of 1933 and Section 21E of the Securities Exchange Act of 1934. Forward-looking statements provide current expectations of future events based on certain assumptions, and all statements other than statements of historical fact contained in this earnings release and the Company’s accompanying oral remarks may be forward-looking statements. In some cases, you can identify forward-looking statements by words such as “guidance,” “future,” “anticipates,” “assumes,” “believes,” “embedded,” “estimates,” “expects,” “growth,” “intends,” “plans,” “predicts,” “projects,” “will,” “would,” “could,” “can,” “may,” or the negative of these terms or other similar expressions. Forward-looking statements contained in this earnings release include, but are not limited to, statements regarding the Company’s 2026 guidance and long-term performance outlook, trends with respect to rates, pretax margins, utilization, and medical costs, including the timing thereof and the anticipated impact on the Company’s business, and our management’s plans and objectives for future operations and business strategy.</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Actual results could differ materially due to numerous known and unknown risks and uncertainties. These risks and uncertainties are discussed under the headings “Forward-Looking Statements,” and “Risk Factors,” in the Company’s Annual Report on Form 10</w:t>
        <w:noBreakHyphen/>
        <w:t>K for the year ended December 31, 2025, which is on file with the U.S. Securities and Exchange Commission (the “SEC”), and in the Company’s other filings with the SEC, including its Quarterly Reports on Form 10-Q for the period ended March 31, 2026 and June 30, 2026 filed with the SEC and Quarterly Report on Form 10-Q for the period ended September 30, 2026, to be filed with the SEC.</w:t>
      </w:r>
    </w:p>
    <w:p>
      <w:pPr>
        <w:pStyle w:val="TextBody"/>
        <w:bidi w:val="0"/>
        <w:spacing w:lineRule="auto" w:line="288" w:before="120" w:after="283"/>
        <w:jc w:val="both"/>
        <w:rPr/>
      </w:pPr>
      <w:r>
        <w:rPr>
          <w:rFonts w:ascii="Arial;sans-serif" w:hAnsi="Arial;sans-serif"/>
          <w:b w:val="false"/>
          <w:color w:val="000000"/>
          <w:sz w:val="22"/>
        </w:rPr>
        <w:t xml:space="preserve">These reports can be accessed under the investor relations tab of the Company’s website or on the SEC’s website at </w:t>
      </w:r>
      <w:r>
        <w:rPr>
          <w:rFonts w:ascii="Arial;sans-serif" w:hAnsi="Arial;sans-serif"/>
          <w:b w:val="false"/>
          <w:color w:val="000000"/>
          <w:sz w:val="22"/>
          <w:u w:val="single"/>
        </w:rPr>
        <w:t>sec.gov</w:t>
      </w:r>
      <w:r>
        <w:rPr>
          <w:rFonts w:ascii="Arial;sans-serif" w:hAnsi="Arial;sans-serif"/>
          <w:b w:val="false"/>
          <w:color w:val="000000"/>
          <w:sz w:val="22"/>
        </w:rPr>
        <w:t>. Given these risks and uncertainties, the Company can give no assurances that its forward-looking statements will prove to be accurate, or that any other results or developments projected or contemplated by its forward-looking statements will in fact occur, and the Company cautions investors not to place undue reliance on these statements. All forward-looking statements in this release represent the Company’s judgment as of October 21, 2026, and, except as otherwise required by law, the Company disclaims any obligation to update any forward-looking statement to conform the statement to actual results or changes in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UNAUDITED CONSOLIDATED STATEMENTS OF INCOME</w:t>
      </w:r>
    </w:p>
    <w:tbl>
      <w:tblPr>
        <w:tblW w:w="9315" w:type="dxa"/>
        <w:jc w:val="left"/>
        <w:tblInd w:w="0" w:type="dxa"/>
        <w:tblLayout w:type="fixed"/>
        <w:tblCellMar>
          <w:top w:w="28" w:type="dxa"/>
          <w:left w:w="28" w:type="dxa"/>
          <w:bottom w:w="28" w:type="dxa"/>
          <w:right w:w="28" w:type="dxa"/>
        </w:tblCellMar>
      </w:tblPr>
      <w:tblGrid>
        <w:gridCol w:w="1450"/>
        <w:gridCol w:w="1275"/>
        <w:gridCol w:w="1280"/>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Nine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(In millions, except per-share amounts)</w:t>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Premium tax revenue </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1,325 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Investment income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care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expenses</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2,213 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2,214 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tax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54" w:type="dxa"/>
            <w:tcBorders/>
            <w:shd w:fill="CEE7EA"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Impairment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w:t>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943 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before income tax expense </w:t>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803 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632 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per share – Diluted</w:t>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11.79 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Diluted weighted average shares outstanding</w:t>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51.5 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51.3 </w:t>
            </w:r>
          </w:p>
        </w:tc>
        <w:tc>
          <w:tcPr>
            <w:tcW w:w="109"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double" w:sz="8" w:space="0" w:color="000000"/>
            </w:tcBorders>
            <w:shd w:fill="CEE7EA"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53.6 </w:t>
            </w:r>
          </w:p>
        </w:tc>
        <w:tc>
          <w:tcPr>
            <w:tcW w:w="154" w:type="dxa"/>
            <w:tcBorders>
              <w:bottom w:val="double" w:sz="8" w:space="0" w:color="000000"/>
            </w:tcBorders>
            <w:shd w:fill="CEE7E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BALANCE SHEETS</w:t>
      </w:r>
    </w:p>
    <w:tbl>
      <w:tblPr>
        <w:tblW w:w="10205" w:type="dxa"/>
        <w:jc w:val="center"/>
        <w:tblInd w:w="0" w:type="dxa"/>
        <w:tblLayout w:type="fixed"/>
        <w:tblCellMar>
          <w:top w:w="28" w:type="dxa"/>
          <w:left w:w="28" w:type="dxa"/>
          <w:bottom w:w="28" w:type="dxa"/>
          <w:right w:w="28" w:type="dxa"/>
        </w:tblCellMar>
      </w:tblPr>
      <w:tblGrid>
        <w:gridCol w:w="2865"/>
        <w:gridCol w:w="2308"/>
        <w:gridCol w:w="2265"/>
        <w:gridCol w:w="237"/>
        <w:gridCol w:w="846"/>
        <w:gridCol w:w="122"/>
        <w:gridCol w:w="109"/>
        <w:gridCol w:w="109"/>
        <w:gridCol w:w="109"/>
        <w:gridCol w:w="232"/>
        <w:gridCol w:w="828"/>
        <w:gridCol w:w="175"/>
      </w:tblGrid>
      <w:tr>
        <w:trPr/>
        <w:tc>
          <w:tcPr>
            <w:tcW w:w="286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(Dollars in millions,</w:t>
              <w:br/>
              <w:t>except per-share amounts)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w:t>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assets:</w:t>
            </w:r>
          </w:p>
        </w:tc>
        <w:tc>
          <w:tcPr>
            <w:tcW w:w="1205"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4,100 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4,008 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12,514 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12,444 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equipment, and capitalized software, net</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324 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 and intangible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investments</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15,564 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 AND STOCKHOLDERS’ EQUITY</w:t>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liabilities:</w:t>
            </w:r>
          </w:p>
        </w:tc>
        <w:tc>
          <w:tcPr>
            <w:tcW w:w="1205"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claims and benefits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Amounts due government agencies </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1,141 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1,326 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accrued liabilities and other</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7,372 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debt</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3,771 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3,766 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Finance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liabilities</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11,497 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11,495 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Stockholders’ equity:</w:t>
            </w:r>
          </w:p>
        </w:tc>
        <w:tc>
          <w:tcPr>
            <w:tcW w:w="1205"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Common stock, $0.001 par value, 150 million shares authorized; outstanding: 52 million shares at September 30, 2026, and 51 million at December 31, 2025</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Preferred stock, $0.001 par value; 20 million shares authorized, no shares issued and outstanding</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(loss) income</w:t>
            </w:r>
          </w:p>
        </w:tc>
        <w:tc>
          <w:tcPr>
            <w:tcW w:w="108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w:t>
            </w:r>
          </w:p>
        </w:tc>
        <w:tc>
          <w:tcPr>
            <w:tcW w:w="122"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7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1083"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4,155 </w:t>
            </w:r>
          </w:p>
        </w:tc>
        <w:tc>
          <w:tcPr>
            <w:tcW w:w="122"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4,069 </w:t>
            </w:r>
          </w:p>
        </w:tc>
        <w:tc>
          <w:tcPr>
            <w:tcW w:w="175"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and stockholders’ equity</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15,564 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pPr>
      <w:r>
        <w:rPr>
          <w:rFonts w:ascii="Arial;sans-serif" w:hAnsi="Arial;sans-serif"/>
          <w:b/>
          <w:color w:val="000000"/>
          <w:sz w:val="22"/>
        </w:rPr>
        <w:t>UNAUDITED CONSOLIDATED STATEMENTS OF CASH FLOWS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68"/>
        <w:gridCol w:w="2512"/>
        <w:gridCol w:w="2520"/>
        <w:gridCol w:w="211"/>
        <w:gridCol w:w="646"/>
        <w:gridCol w:w="109"/>
        <w:gridCol w:w="109"/>
        <w:gridCol w:w="109"/>
        <w:gridCol w:w="109"/>
        <w:gridCol w:w="211"/>
        <w:gridCol w:w="646"/>
        <w:gridCol w:w="155"/>
      </w:tblGrid>
      <w:tr>
        <w:trPr/>
        <w:tc>
          <w:tcPr>
            <w:tcW w:w="2868"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Nine Months Ended</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(In millions)</w:t>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provided by (used in) operating activities: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Impairment</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966"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Medical claims and benefits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Amounts due government agencies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(467)</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 accrued liabilities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(used in) operating activities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w:t>
            </w:r>
          </w:p>
        </w:tc>
        <w:tc>
          <w:tcPr>
            <w:tcW w:w="155"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investments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(1,245)</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(607)</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Proceeds from sales and maturities of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Purchases of property, equipment, and capitalized software</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paid in business combinations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55"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provided by investing activities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966"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borrowings under credit facility and term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 xml:space="preserve">Common stock purchases </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w:t>
            </w:r>
          </w:p>
        </w:tc>
        <w:tc>
          <w:tcPr>
            <w:tcW w:w="155"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Repayment of credit facility and term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Common stock withheld to settle employee tax obligations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net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financing activities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w:t>
            </w:r>
          </w:p>
        </w:tc>
        <w:tc>
          <w:tcPr>
            <w:tcW w:w="155"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increase (decrease) in cash, cash equivalents, and restricted cash and cash equivalents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Cash, cash equivalents, and restricted cash and cash equivalents at beginning of period</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4,348 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4,741 </w:t>
            </w:r>
          </w:p>
        </w:tc>
        <w:tc>
          <w:tcPr>
            <w:tcW w:w="155"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Cash, cash equivalents, and restricted 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UNAUDITED SEGMENT DATA</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(Dollars in millions)</w:t>
      </w:r>
    </w:p>
    <w:p>
      <w:pPr>
        <w:pStyle w:val="TextBody"/>
        <w:bidi w:val="0"/>
        <w:spacing w:before="0" w:after="0"/>
        <w:jc w:val="center"/>
        <w:rPr/>
      </w:pPr>
      <w:r>
        <w:rPr/>
      </w:r>
    </w:p>
    <w:p>
      <w:pPr>
        <w:pStyle w:val="TextBody"/>
        <w:bidi w:val="0"/>
        <w:spacing w:before="0" w:after="0"/>
        <w:jc w:val="right"/>
        <w:rPr/>
      </w:pPr>
      <w:r>
        <w:rPr/>
      </w:r>
    </w:p>
    <w:tbl>
      <w:tblPr>
        <w:tblW w:w="8635" w:type="dxa"/>
        <w:jc w:val="center"/>
        <w:tblInd w:w="0" w:type="dxa"/>
        <w:tblLayout w:type="fixed"/>
        <w:tblCellMar>
          <w:top w:w="28" w:type="dxa"/>
          <w:left w:w="28" w:type="dxa"/>
          <w:bottom w:w="28" w:type="dxa"/>
          <w:right w:w="28" w:type="dxa"/>
        </w:tblCellMar>
      </w:tblPr>
      <w:tblGrid>
        <w:gridCol w:w="599"/>
        <w:gridCol w:w="525"/>
        <w:gridCol w:w="525"/>
        <w:gridCol w:w="525"/>
        <w:gridCol w:w="525"/>
        <w:gridCol w:w="538"/>
        <w:gridCol w:w="510"/>
        <w:gridCol w:w="511"/>
        <w:gridCol w:w="481"/>
        <w:gridCol w:w="109"/>
        <w:gridCol w:w="109"/>
        <w:gridCol w:w="109"/>
        <w:gridCol w:w="510"/>
        <w:gridCol w:w="511"/>
        <w:gridCol w:w="456"/>
        <w:gridCol w:w="109"/>
        <w:gridCol w:w="109"/>
        <w:gridCol w:w="109"/>
        <w:gridCol w:w="510"/>
        <w:gridCol w:w="511"/>
        <w:gridCol w:w="481"/>
        <w:gridCol w:w="109"/>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Ending Membership by Segment:</w:t>
            </w:r>
          </w:p>
        </w:tc>
        <w:tc>
          <w:tcPr>
            <w:tcW w:w="1502"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Medicaid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4,372,000 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4,568,000 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4,639,000 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Medicare</w:t>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222,000 </w:t>
            </w:r>
          </w:p>
        </w:tc>
        <w:tc>
          <w:tcPr>
            <w:tcW w:w="481"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262,000 </w:t>
            </w:r>
          </w:p>
        </w:tc>
        <w:tc>
          <w:tcPr>
            <w:tcW w:w="45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266,000 </w:t>
            </w:r>
          </w:p>
        </w:tc>
        <w:tc>
          <w:tcPr>
            <w:tcW w:w="481"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588"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481"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6,000 </w:t>
            </w:r>
          </w:p>
        </w:tc>
        <w:tc>
          <w:tcPr>
            <w:tcW w:w="45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10,000 </w:t>
            </w:r>
          </w:p>
        </w:tc>
        <w:tc>
          <w:tcPr>
            <w:tcW w:w="481"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4,862,000 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5,491,000 </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5,628,000 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149" w:type="dxa"/>
        <w:jc w:val="center"/>
        <w:tblInd w:w="0" w:type="dxa"/>
        <w:tblLayout w:type="fixed"/>
        <w:tblCellMar>
          <w:top w:w="28" w:type="dxa"/>
          <w:left w:w="28" w:type="dxa"/>
          <w:bottom w:w="28" w:type="dxa"/>
          <w:right w:w="28" w:type="dxa"/>
        </w:tblCellMar>
      </w:tblPr>
      <w:tblGrid>
        <w:gridCol w:w="463"/>
        <w:gridCol w:w="389"/>
        <w:gridCol w:w="394"/>
        <w:gridCol w:w="357"/>
        <w:gridCol w:w="1273"/>
        <w:gridCol w:w="184"/>
        <w:gridCol w:w="109"/>
        <w:gridCol w:w="109"/>
        <w:gridCol w:w="109"/>
        <w:gridCol w:w="217"/>
        <w:gridCol w:w="496"/>
        <w:gridCol w:w="113"/>
        <w:gridCol w:w="109"/>
        <w:gridCol w:w="109"/>
        <w:gridCol w:w="109"/>
        <w:gridCol w:w="269"/>
        <w:gridCol w:w="272"/>
        <w:gridCol w:w="426"/>
        <w:gridCol w:w="109"/>
        <w:gridCol w:w="109"/>
        <w:gridCol w:w="109"/>
        <w:gridCol w:w="357"/>
        <w:gridCol w:w="1273"/>
        <w:gridCol w:w="184"/>
        <w:gridCol w:w="109"/>
        <w:gridCol w:w="109"/>
        <w:gridCol w:w="109"/>
        <w:gridCol w:w="217"/>
        <w:gridCol w:w="496"/>
        <w:gridCol w:w="113"/>
        <w:gridCol w:w="109"/>
        <w:gridCol w:w="109"/>
        <w:gridCol w:w="109"/>
        <w:gridCol w:w="269"/>
        <w:gridCol w:w="272"/>
        <w:gridCol w:w="480"/>
      </w:tblGrid>
      <w:tr>
        <w:trPr/>
        <w:tc>
          <w:tcPr>
            <w:tcW w:w="4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7089"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936"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642"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7089"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936"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642"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Medicaid </w:t>
            </w:r>
          </w:p>
        </w:tc>
        <w:tc>
          <w:tcPr>
            <w:tcW w:w="35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3"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8,199 </w:t>
            </w:r>
          </w:p>
        </w:tc>
        <w:tc>
          <w:tcPr>
            <w:tcW w:w="18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93.0</w:t>
            </w:r>
          </w:p>
        </w:tc>
        <w:tc>
          <w:tcPr>
            <w:tcW w:w="42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3"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8,015 </w:t>
            </w:r>
          </w:p>
        </w:tc>
        <w:tc>
          <w:tcPr>
            <w:tcW w:w="18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639 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92.0</w:t>
            </w:r>
          </w:p>
        </w:tc>
        <w:tc>
          <w:tcPr>
            <w:tcW w:w="480"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Medicare </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93.6 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63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642 </w:t>
            </w:r>
          </w:p>
        </w:tc>
        <w:tc>
          <w:tcPr>
            <w:tcW w:w="18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1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92.5 </w:t>
            </w:r>
          </w:p>
        </w:tc>
        <w:tc>
          <w:tcPr>
            <w:tcW w:w="4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1,197 </w:t>
            </w:r>
          </w:p>
        </w:tc>
        <w:tc>
          <w:tcPr>
            <w:tcW w:w="18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113"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95.6 </w:t>
            </w:r>
          </w:p>
        </w:tc>
        <w:tc>
          <w:tcPr>
            <w:tcW w:w="48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w:t>
            </w:r>
            <w:r>
              <w:rPr>
                <w:rFonts w:ascii="Arial;sans-serif" w:hAnsi="Arial;sans-serif"/>
                <w:b w:val="false"/>
                <w:color w:val="000000"/>
                <w:sz w:val="12"/>
              </w:rPr>
              <w:t>(2)</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Consolidated</w:t>
            </w:r>
          </w:p>
        </w:tc>
        <w:tc>
          <w:tcPr>
            <w:tcW w:w="35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3"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10,457 </w:t>
            </w:r>
          </w:p>
        </w:tc>
        <w:tc>
          <w:tcPr>
            <w:tcW w:w="18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738 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92.9</w:t>
            </w:r>
          </w:p>
        </w:tc>
        <w:tc>
          <w:tcPr>
            <w:tcW w:w="426"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3"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10,841 </w:t>
            </w:r>
          </w:p>
        </w:tc>
        <w:tc>
          <w:tcPr>
            <w:tcW w:w="18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797 </w:t>
            </w:r>
          </w:p>
        </w:tc>
        <w:tc>
          <w:tcPr>
            <w:tcW w:w="113"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w:t>
            </w:r>
          </w:p>
        </w:tc>
        <w:tc>
          <w:tcPr>
            <w:tcW w:w="480"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903"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63"/>
        <w:gridCol w:w="389"/>
        <w:gridCol w:w="394"/>
        <w:gridCol w:w="338"/>
        <w:gridCol w:w="1205"/>
        <w:gridCol w:w="174"/>
        <w:gridCol w:w="109"/>
        <w:gridCol w:w="109"/>
        <w:gridCol w:w="109"/>
        <w:gridCol w:w="211"/>
        <w:gridCol w:w="646"/>
        <w:gridCol w:w="109"/>
        <w:gridCol w:w="109"/>
        <w:gridCol w:w="109"/>
        <w:gridCol w:w="109"/>
        <w:gridCol w:w="269"/>
        <w:gridCol w:w="272"/>
        <w:gridCol w:w="410"/>
        <w:gridCol w:w="109"/>
        <w:gridCol w:w="109"/>
        <w:gridCol w:w="109"/>
        <w:gridCol w:w="338"/>
        <w:gridCol w:w="1205"/>
        <w:gridCol w:w="174"/>
        <w:gridCol w:w="109"/>
        <w:gridCol w:w="109"/>
        <w:gridCol w:w="109"/>
        <w:gridCol w:w="211"/>
        <w:gridCol w:w="646"/>
        <w:gridCol w:w="109"/>
        <w:gridCol w:w="109"/>
        <w:gridCol w:w="109"/>
        <w:gridCol w:w="109"/>
        <w:gridCol w:w="269"/>
        <w:gridCol w:w="272"/>
        <w:gridCol w:w="466"/>
      </w:tblGrid>
      <w:tr>
        <w:trPr/>
        <w:tc>
          <w:tcPr>
            <w:tcW w:w="4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7242"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949"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71"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7242" w:type="dxa"/>
            <w:gridSpan w:val="30"/>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949" w:type="dxa"/>
            <w:gridSpan w:val="24"/>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671"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Premium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 xml:space="preserve">MCR </w:t>
            </w:r>
            <w:r>
              <w:rPr>
                <w:rFonts w:ascii="Arial;sans-serif" w:hAnsi="Arial;sans-serif"/>
                <w:b/>
                <w:color w:val="000000"/>
                <w:sz w:val="12"/>
              </w:rPr>
              <w:t>(1)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Medicaid </w:t>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24,175 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w:t>
            </w:r>
          </w:p>
        </w:tc>
        <w:tc>
          <w:tcPr>
            <w:tcW w:w="410"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24,174 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2,127 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91.2</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Medicare </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Marketplace</w:t>
            </w:r>
          </w:p>
        </w:tc>
        <w:tc>
          <w:tcPr>
            <w:tcW w:w="154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1,994 </w:t>
            </w:r>
          </w:p>
        </w:tc>
        <w:tc>
          <w:tcPr>
            <w:tcW w:w="17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88.3 </w:t>
            </w:r>
          </w:p>
        </w:tc>
        <w:tc>
          <w:tcPr>
            <w:tcW w:w="410"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3,401 </w:t>
            </w:r>
          </w:p>
        </w:tc>
        <w:tc>
          <w:tcPr>
            <w:tcW w:w="17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87.9 </w:t>
            </w:r>
          </w:p>
        </w:tc>
        <w:tc>
          <w:tcPr>
            <w:tcW w:w="46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w:t>
            </w:r>
            <w:r>
              <w:rPr>
                <w:rFonts w:ascii="Arial;sans-serif" w:hAnsi="Arial;sans-serif"/>
                <w:b w:val="false"/>
                <w:color w:val="000000"/>
                <w:sz w:val="12"/>
              </w:rPr>
              <w:t>(2)</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46"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Consolidated</w:t>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30,873 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w:t>
            </w:r>
          </w:p>
        </w:tc>
        <w:tc>
          <w:tcPr>
            <w:tcW w:w="410"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32,337 </w:t>
            </w:r>
          </w:p>
        </w:tc>
        <w:tc>
          <w:tcPr>
            <w:tcW w:w="17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12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60" w:after="283"/>
              <w:ind w:left="0" w:right="0" w:hanging="360"/>
              <w:jc w:val="left"/>
              <w:rPr>
                <w:rFonts w:ascii="Arial;sans-serif" w:hAnsi="Arial;sans-serif"/>
                <w:b w:val="false"/>
                <w:color w:val="000000"/>
                <w:sz w:val="17"/>
              </w:rPr>
            </w:pPr>
            <w:r>
              <w:rPr>
                <w:rFonts w:ascii="Arial;sans-serif" w:hAnsi="Arial;sans-serif"/>
                <w:b w:val="false"/>
                <w:color w:val="000000"/>
                <w:sz w:val="17"/>
              </w:rPr>
              <w:t>(1)The MCR represents medical costs as a percentage of premium revenue.</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(2) The Other MCRs are not meaningful.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CHANGE IN MEDICAL CLAIMS AND BENEFITS PAYABLE</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(Dollars in millions)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Company’s claims liabilities include additional reserves to account for moderately adverse conditions based on historical experience and other factors including, but not limited to, variations in claims payment patterns, changes in utilization and cost trends, known outbreaks of disease, and large claims. The Company’s reserving methodology is consistently applied across all periods presented. The amounts displayed for “Components of medical care costs related to: Prior year” represent the amounts by which the original estimates of claims and benefits payable at the beginning of the year were more than the actual liabilities based on information (principally the payment of claims) developed since those liabilities were first reported. The following table presents the components of the change in medical claims and benefits payable for the periods indicated:</w:t>
      </w:r>
    </w:p>
    <w:tbl>
      <w:tblPr>
        <w:tblW w:w="7486" w:type="dxa"/>
        <w:jc w:val="left"/>
        <w:tblInd w:w="0" w:type="dxa"/>
        <w:tblLayout w:type="fixed"/>
        <w:tblCellMar>
          <w:top w:w="28" w:type="dxa"/>
          <w:left w:w="28" w:type="dxa"/>
          <w:bottom w:w="28" w:type="dxa"/>
          <w:right w:w="28" w:type="dxa"/>
        </w:tblCellMar>
      </w:tblPr>
      <w:tblGrid>
        <w:gridCol w:w="1799"/>
        <w:gridCol w:w="1579"/>
        <w:gridCol w:w="1586"/>
        <w:gridCol w:w="211"/>
        <w:gridCol w:w="646"/>
        <w:gridCol w:w="109"/>
        <w:gridCol w:w="109"/>
        <w:gridCol w:w="109"/>
        <w:gridCol w:w="109"/>
        <w:gridCol w:w="211"/>
        <w:gridCol w:w="646"/>
        <w:gridCol w:w="109"/>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Medical claims and benefits payable, beginning balance</w:t>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4,640 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Components of medical care costs related to:</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year</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28,781 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29,476 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medical care costs</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28,429 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29,352 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for medical care costs related to:</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year</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24,692 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25,425 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paid</w:t>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28,655 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29,484 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Acquired balances, net of post-acquisition adjustments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non-risk and other payables</w:t>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Medical claims and benefits payable, 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EE7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Days in Claims Payable </w:t>
            </w:r>
            <w:r>
              <w:rPr>
                <w:rFonts w:ascii="Arial;sans-serif" w:hAnsi="Arial;sans-serif"/>
                <w:b w:val="false"/>
                <w:color w:val="000000"/>
                <w:sz w:val="12"/>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 xml:space="preserve">(1)The Company calculates Days in Claims Payable using claims incurred but not paid, or IBNP, and other fee-for-service payables included in medical claims and benefits payable, and quarterly fee-for-service related costs included in medical care costs within the Company’s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RECONCILIATION OF UNAUDITED NON-GAAP FINANCIAL MEASURES</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(In millions, except per diluted share amounts)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Company believes that certain non-GAAP (generally accepted accounting principles) financial measures are useful supplemental measures to investors in comparing the Company’s performance to the performance of other public companies in the health care industry. The non-GAAP financial measures are also used internally to enable management to assess the Company’s performance consistently over time. These non-GAAP financial measures, presented below, should be considered as supplements to, and not as substitutes for or superior to, GAAP measures.</w:t>
      </w:r>
    </w:p>
    <w:p>
      <w:pPr>
        <w:pStyle w:val="TextBody"/>
        <w:bidi w:val="0"/>
        <w:spacing w:lineRule="auto" w:line="288" w:before="120" w:after="120"/>
        <w:jc w:val="both"/>
        <w:rPr/>
      </w:pPr>
      <w:r>
        <w:rPr>
          <w:rFonts w:ascii="Arial;sans-serif" w:hAnsi="Arial;sans-serif"/>
          <w:b/>
          <w:color w:val="000000"/>
          <w:sz w:val="22"/>
        </w:rPr>
        <w:t xml:space="preserve">Adjustments </w:t>
      </w:r>
      <w:r>
        <w:rPr>
          <w:rFonts w:ascii="Arial;sans-serif" w:hAnsi="Arial;sans-serif"/>
          <w:b w:val="false"/>
          <w:color w:val="000000"/>
          <w:sz w:val="22"/>
        </w:rPr>
        <w:t xml:space="preserve">represent additions and deductions to GAAP net income as indicated in the table below, which include the non-cash impact of amortization of acquired intangible assets, acquisition-related expenses, impairments, and the impact of certain expenses and other items that management believes are not indicative of longer-term business trends and operations. </w:t>
      </w:r>
    </w:p>
    <w:p>
      <w:pPr>
        <w:pStyle w:val="TextBody"/>
        <w:bidi w:val="0"/>
        <w:spacing w:lineRule="auto" w:line="288" w:before="120" w:after="120"/>
        <w:jc w:val="both"/>
        <w:rPr/>
      </w:pPr>
      <w:r>
        <w:rPr>
          <w:rFonts w:ascii="Arial;sans-serif" w:hAnsi="Arial;sans-serif"/>
          <w:b/>
          <w:color w:val="000000"/>
          <w:sz w:val="22"/>
        </w:rPr>
        <w:t>Adjusted G&amp;A Ratio</w:t>
      </w:r>
      <w:r>
        <w:rPr>
          <w:color w:val="000000"/>
        </w:rPr>
        <w:t xml:space="preserve"> </w:t>
      </w:r>
      <w:r>
        <w:rPr>
          <w:rFonts w:ascii="Arial;sans-serif" w:hAnsi="Arial;sans-serif"/>
          <w:b w:val="false"/>
          <w:color w:val="000000"/>
          <w:sz w:val="22"/>
        </w:rPr>
        <w:t>represents the GAAP G&amp;A ratio, recognizing adjustments.</w:t>
      </w:r>
    </w:p>
    <w:p>
      <w:pPr>
        <w:pStyle w:val="TextBody"/>
        <w:bidi w:val="0"/>
        <w:spacing w:lineRule="auto" w:line="288" w:before="120" w:after="120"/>
        <w:jc w:val="both"/>
        <w:rPr/>
      </w:pPr>
      <w:r>
        <w:rPr>
          <w:rFonts w:ascii="Arial;sans-serif" w:hAnsi="Arial;sans-serif"/>
          <w:b/>
          <w:color w:val="000000"/>
          <w:sz w:val="22"/>
        </w:rPr>
        <w:t xml:space="preserve">Adjusted net income </w:t>
      </w:r>
      <w:r>
        <w:rPr>
          <w:rFonts w:ascii="Arial;sans-serif" w:hAnsi="Arial;sans-serif"/>
          <w:b w:val="false"/>
          <w:color w:val="000000"/>
          <w:sz w:val="22"/>
        </w:rPr>
        <w:t>represents GAAP net income recognizing the adjustments, net of tax. The Company believes that adjusted net income is helpful to investors in assessing the Company’s financial performance.</w:t>
      </w:r>
    </w:p>
    <w:p>
      <w:pPr>
        <w:pStyle w:val="TextBody"/>
        <w:bidi w:val="0"/>
        <w:spacing w:lineRule="auto" w:line="288" w:before="120" w:after="120"/>
        <w:jc w:val="both"/>
        <w:rPr/>
      </w:pPr>
      <w:r>
        <w:rPr>
          <w:rFonts w:ascii="Arial;sans-serif" w:hAnsi="Arial;sans-serif"/>
          <w:b/>
          <w:color w:val="000000"/>
          <w:sz w:val="22"/>
        </w:rPr>
        <w:t xml:space="preserve">Adjusted net income per diluted share </w:t>
      </w:r>
      <w:r>
        <w:rPr>
          <w:rFonts w:ascii="Arial;sans-serif" w:hAnsi="Arial;sans-serif"/>
          <w:b w:val="false"/>
          <w:color w:val="000000"/>
          <w:sz w:val="22"/>
        </w:rPr>
        <w:t xml:space="preserve">represents adjusted net income divided by weighted average common shares outstanding on a fully diluted basis. </w:t>
      </w:r>
    </w:p>
    <w:p>
      <w:pPr>
        <w:pStyle w:val="TextBody"/>
        <w:bidi w:val="0"/>
        <w:spacing w:lineRule="auto" w:line="288" w:before="0" w:after="120"/>
        <w:jc w:val="left"/>
        <w:rPr/>
      </w:pPr>
      <w:r>
        <w:rPr>
          <w:rFonts w:ascii="Arial;sans-serif" w:hAnsi="Arial;sans-serif"/>
          <w:b/>
          <w:color w:val="000000"/>
          <w:sz w:val="22"/>
        </w:rPr>
        <w:t>Adjusted pre-tax margin</w:t>
      </w:r>
      <w:r>
        <w:rPr>
          <w:color w:val="000000"/>
        </w:rPr>
        <w:t xml:space="preserve"> </w:t>
      </w:r>
      <w:r>
        <w:rPr>
          <w:rFonts w:ascii="Arial;sans-serif" w:hAnsi="Arial;sans-serif"/>
          <w:b w:val="false"/>
          <w:color w:val="000000"/>
          <w:sz w:val="22"/>
        </w:rPr>
        <w:t>represents adjusted income before income tax expense, divided by total revenue.</w:t>
      </w:r>
    </w:p>
    <w:tbl>
      <w:tblPr>
        <w:tblW w:w="10368" w:type="dxa"/>
        <w:jc w:val="center"/>
        <w:tblInd w:w="0" w:type="dxa"/>
        <w:tblLayout w:type="fixed"/>
        <w:tblCellMar>
          <w:top w:w="28" w:type="dxa"/>
          <w:left w:w="28" w:type="dxa"/>
          <w:bottom w:w="28" w:type="dxa"/>
          <w:right w:w="28" w:type="dxa"/>
        </w:tblCellMar>
      </w:tblPr>
      <w:tblGrid>
        <w:gridCol w:w="1000"/>
        <w:gridCol w:w="298"/>
        <w:gridCol w:w="173"/>
        <w:gridCol w:w="241"/>
        <w:gridCol w:w="414"/>
        <w:gridCol w:w="126"/>
        <w:gridCol w:w="109"/>
        <w:gridCol w:w="109"/>
        <w:gridCol w:w="109"/>
        <w:gridCol w:w="211"/>
        <w:gridCol w:w="511"/>
        <w:gridCol w:w="109"/>
        <w:gridCol w:w="109"/>
        <w:gridCol w:w="109"/>
        <w:gridCol w:w="109"/>
        <w:gridCol w:w="241"/>
        <w:gridCol w:w="414"/>
        <w:gridCol w:w="126"/>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Diluted Share</w:t>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GAAP Net income</w:t>
            </w:r>
          </w:p>
        </w:tc>
        <w:tc>
          <w:tcPr>
            <w:tcW w:w="24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w:t>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24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Acquisition-related expenses </w:t>
            </w:r>
            <w:r>
              <w:rPr>
                <w:rFonts w:ascii="Arial;sans-serif" w:hAnsi="Arial;sans-serif"/>
                <w:b w:val="false"/>
                <w:color w:val="000000"/>
                <w:sz w:val="12"/>
              </w:rPr>
              <w:t xml:space="preserve">(1) </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Impairment </w:t>
            </w:r>
            <w:r>
              <w:rPr>
                <w:rFonts w:ascii="Arial;sans-serif" w:hAnsi="Arial;sans-serif"/>
                <w:b w:val="false"/>
                <w:color w:val="000000"/>
                <w:sz w:val="12"/>
              </w:rPr>
              <w:t>(2)</w:t>
            </w:r>
          </w:p>
        </w:tc>
        <w:tc>
          <w:tcPr>
            <w:tcW w:w="655"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Other </w:t>
            </w:r>
            <w:r>
              <w:rPr>
                <w:rFonts w:ascii="Arial;sans-serif" w:hAnsi="Arial;sans-serif"/>
                <w:b w:val="false"/>
                <w:color w:val="000000"/>
                <w:sz w:val="12"/>
              </w:rPr>
              <w:t>(3)</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Subtotal, adjustments</w:t>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Income tax effect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6"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net income</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(1)Reflects non-recurring costs associated with acquisitions, including various transaction and certain integration costs. </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(2)This impairment charge results from the Company’s decision to exit the Medicare Advantage Prescription Drug product for 2027 as that product does not align with the Company’s strategic shift to focus exclusively on dual eligible members in Medicare. </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 xml:space="preserve">(3)The nine months ended September 30, 2026 primarily includes non-recurring termination benefits, and the nine months ended September 30, 2025 includes non-recurring litigation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Molina Healthcare, Inc. Reports Third Quarter 2026 Financial Results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October 21, 2026</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MOLINA HEALTHCARE,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RECONCILIATION OF UNAUDITED NON-GAAP FINANCIAL MEASURES (CONTINUED)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2026 GUIDANCE</w:t>
      </w:r>
    </w:p>
    <w:p>
      <w:pPr>
        <w:pStyle w:val="TextBody"/>
        <w:bidi w:val="0"/>
        <w:spacing w:before="0" w:after="0"/>
        <w:jc w:val="center"/>
        <w:rPr/>
      </w:pPr>
      <w:r>
        <w:rPr/>
      </w:r>
    </w:p>
    <w:p>
      <w:pPr>
        <w:pStyle w:val="TextBody"/>
        <w:bidi w:val="0"/>
        <w:spacing w:before="0" w:after="0"/>
        <w:jc w:val="center"/>
        <w:rPr/>
      </w:pPr>
      <w:r>
        <w:rPr/>
      </w:r>
    </w:p>
    <w:tbl>
      <w:tblPr>
        <w:tblW w:w="5755" w:type="dxa"/>
        <w:jc w:val="center"/>
        <w:tblInd w:w="0" w:type="dxa"/>
        <w:tblLayout w:type="fixed"/>
        <w:tblCellMar>
          <w:top w:w="28" w:type="dxa"/>
          <w:left w:w="28" w:type="dxa"/>
          <w:bottom w:w="28" w:type="dxa"/>
          <w:right w:w="28" w:type="dxa"/>
        </w:tblCellMar>
      </w:tblPr>
      <w:tblGrid>
        <w:gridCol w:w="1001"/>
        <w:gridCol w:w="877"/>
        <w:gridCol w:w="882"/>
        <w:gridCol w:w="221"/>
        <w:gridCol w:w="489"/>
        <w:gridCol w:w="114"/>
        <w:gridCol w:w="109"/>
        <w:gridCol w:w="109"/>
        <w:gridCol w:w="109"/>
        <w:gridCol w:w="444"/>
        <w:gridCol w:w="1076"/>
        <w:gridCol w:w="324"/>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Per Diluted Share </w:t>
            </w:r>
            <w:r>
              <w:rPr>
                <w:rFonts w:ascii="Arial;sans-serif" w:hAnsi="Arial;sans-serif"/>
                <w:b/>
                <w:color w:val="000000"/>
                <w:sz w:val="12"/>
              </w:rPr>
              <w:t>(2)</w:t>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GAAP Net income</w:t>
            </w:r>
          </w:p>
        </w:tc>
        <w:tc>
          <w:tcPr>
            <w:tcW w:w="221"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w:t>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Acquisition-related expenses </w:t>
            </w:r>
          </w:p>
        </w:tc>
        <w:tc>
          <w:tcPr>
            <w:tcW w:w="71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324"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71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4" w:type="dxa"/>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EE7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24" w:type="dxa"/>
            <w:tcBorders/>
            <w:shd w:fill="CEE7EA"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Subtotal, adjustments</w:t>
            </w:r>
          </w:p>
        </w:tc>
        <w:tc>
          <w:tcPr>
            <w:tcW w:w="71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Income tax effect </w:t>
            </w:r>
            <w:r>
              <w:rPr>
                <w:rFonts w:ascii="Arial;sans-serif" w:hAnsi="Arial;sans-serif"/>
                <w:b w:val="false"/>
                <w:color w:val="000000"/>
                <w:sz w:val="12"/>
              </w:rPr>
              <w:t>(1)</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EE7EA"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71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1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E7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EE7EA"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324" w:type="dxa"/>
            <w:tcBorders>
              <w:top w:val="single" w:sz="8" w:space="0" w:color="000000"/>
            </w:tcBorders>
            <w:shd w:fill="CEE7E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net income</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__________________</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(1)Income tax effect calculated at the statutory tax rate of approximately 25.5%.</w:t>
      </w:r>
    </w:p>
    <w:p>
      <w:pPr>
        <w:pStyle w:val="TextBody"/>
        <w:bidi w:val="0"/>
        <w:spacing w:lineRule="auto" w:line="288" w:before="60" w:after="283"/>
        <w:ind w:left="0" w:right="0" w:hanging="360"/>
        <w:jc w:val="both"/>
        <w:rPr>
          <w:rFonts w:ascii="Arial;sans-serif" w:hAnsi="Arial;sans-serif"/>
          <w:b w:val="false"/>
          <w:color w:val="000000"/>
          <w:sz w:val="17"/>
        </w:rPr>
      </w:pPr>
      <w:r>
        <w:rPr>
          <w:rFonts w:ascii="Arial;sans-serif" w:hAnsi="Arial;sans-serif"/>
          <w:b w:val="false"/>
          <w:color w:val="000000"/>
          <w:sz w:val="17"/>
        </w:rPr>
        <w:t>(2)Computations assume approximately 51.4 million diluted weighted average shares outstanding.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3593</Words>
  <Characters>19866</Characters>
  <CharactersWithSpaces>22940</CharactersWithSpaces>
  <Paragraphs>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