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moh20261106_8k.htm"/>
      <w:bookmarkStart w:id="1" w:name="ksmoh20261106_8k"/>
      <w:bookmarkEnd w:id="0"/>
      <w:bookmarkEnd w:id="1"/>
      <w:r>
        <w:rPr>
          <w:caps w:val="false"/>
          <w:smallCaps w:val="false"/>
        </w:rPr>
        <w:t> </w:t>
      </w:r>
    </w:p>
    <w:p>
      <w:pPr>
        <w:pStyle w:val="HorizontalLine"/>
        <w:pBdr>
          <w:bottom w:val="double" w:sz="2" w:space="0" w:color="808080"/>
        </w:pBdr>
        <w:bidi w:val="0"/>
        <w:spacing w:before="0" w:after="283"/>
        <w:jc w:val="left"/>
      </w:pPr>
      <w:r/>
    </w:p>
    <w:p>
      <w:pPr>
        <w:pStyle w:val="HorizontalLine"/>
        <w:pBdr>
          <w:bottom w:val="double" w:sz="2" w:space="0" w:color="808080"/>
        </w:pBdr>
        <w:bidi w:val="0"/>
        <w:spacing w:before="0" w:after="283"/>
        <w:jc w:val="left"/>
      </w:p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32"/>
        </w:rPr>
      </w:pPr>
      <w:r>
        <w:rPr>
          <w:rFonts w:ascii="Times New Roman" w:hAnsi="Times New Roman"/>
          <w:b/>
          <w:caps w:val="false"/>
          <w:smallCaps w:val="false"/>
          <w:sz w:val="32"/>
        </w:rPr>
        <w:t>UNITED STATES</w:t>
      </w:r>
      <w:r>
        <w:rPr>
          <w:rFonts w:ascii="Times New Roman" w:hAnsi="Times New Roman"/>
          <w:caps w:val="false"/>
          <w:smallCaps w:val="false"/>
          <w:sz w:val="32"/>
        </w:rPr>
        <w:t xml:space="preserve"> </w:t>
      </w:r>
    </w:p>
    <w:p>
      <w:pPr>
        <w:pStyle w:val="TextBody"/>
        <w:bidi w:val="0"/>
        <w:spacing w:before="0" w:after="0"/>
        <w:ind w:left="0" w:right="0" w:hanging="0"/>
        <w:jc w:val="center"/>
        <w:rPr>
          <w:rFonts w:ascii="Times New Roman" w:hAnsi="Times New Roman"/>
          <w:caps w:val="false"/>
          <w:smallCaps w:val="false"/>
          <w:sz w:val="32"/>
        </w:rPr>
      </w:pPr>
      <w:r>
        <w:rPr>
          <w:rFonts w:ascii="Times New Roman" w:hAnsi="Times New Roman"/>
          <w:b/>
          <w:caps w:val="false"/>
          <w:smallCaps w:val="false"/>
          <w:sz w:val="32"/>
        </w:rPr>
        <w:t>SECURITIES AND EXCHANGE COMMISSION</w:t>
      </w:r>
      <w:r>
        <w:rPr>
          <w:rFonts w:ascii="Times New Roman" w:hAnsi="Times New Roman"/>
          <w:caps w:val="false"/>
          <w:smallCaps w:val="false"/>
          <w:sz w:val="32"/>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Washington, D.C. 20549</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p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32"/>
        </w:rPr>
      </w:pPr>
      <w:r>
        <w:rPr>
          <w:rFonts w:ascii="Times New Roman" w:hAnsi="Times New Roman"/>
          <w:b/>
          <w:caps w:val="false"/>
          <w:smallCaps w:val="false"/>
          <w:sz w:val="32"/>
        </w:rPr>
        <w:t>FORM 8-K</w:t>
      </w:r>
      <w:r>
        <w:rPr>
          <w:rFonts w:ascii="Times New Roman" w:hAnsi="Times New Roman"/>
          <w:caps w:val="false"/>
          <w:smallCaps w:val="false"/>
          <w:sz w:val="32"/>
        </w:rPr>
        <w:t xml:space="preserve">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p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Current Report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Pursuant to Section 13 OR 15(d) of the Securities Exchange Act of 1934</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Date of Report (Date of earliest event reported): November 6, 2026</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p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32"/>
        </w:rPr>
      </w:pPr>
      <w:r>
        <w:rPr>
          <w:rFonts w:ascii="Times New Roman" w:hAnsi="Times New Roman"/>
          <w:b/>
          <w:caps w:val="false"/>
          <w:smallCaps w:val="false"/>
          <w:sz w:val="32"/>
        </w:rPr>
        <w:t>MOLINA HEALTHCARE, INC.</w:t>
      </w:r>
      <w:r>
        <w:rPr>
          <w:rFonts w:ascii="Times New Roman" w:hAnsi="Times New Roman"/>
          <w:caps w:val="false"/>
          <w:smallCaps w:val="false"/>
          <w:sz w:val="32"/>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(Exact name of registrant as specified in its charter)</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8925" w:type="dxa"/>
        <w:jc w:val="left"/>
        <w:tblInd w:w="0" w:type="dxa"/>
        <w:tblLayout w:type="fixed"/>
        <w:tblCellMar>
          <w:top w:w="0" w:type="dxa"/>
          <w:left w:w="0" w:type="dxa"/>
          <w:bottom w:w="0" w:type="dxa"/>
          <w:right w:w="0" w:type="dxa"/>
        </w:tblCellMar>
      </w:tblPr>
      <w:tblGrid>
        <w:gridCol w:w="3755"/>
        <w:gridCol w:w="2300"/>
        <w:gridCol w:w="2870"/>
      </w:tblGrid>
      <w:tr>
        <w:tc>
          <w:tcPr>
            <w:tcW w:w="375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Delaware</w:t>
            </w:r>
          </w:p>
        </w:tc>
        <w:tc>
          <w:tcPr>
            <w:tcW w:w="230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1-31719</w:t>
            </w:r>
          </w:p>
        </w:tc>
        <w:tc>
          <w:tcPr>
            <w:tcW w:w="287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13-4204626</w:t>
            </w:r>
          </w:p>
        </w:tc>
      </w:tr>
      <w:tr>
        <w:tc>
          <w:tcPr>
            <w:tcW w:w="375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(State or other jurisdiction of incorporation)</w:t>
            </w:r>
          </w:p>
        </w:tc>
        <w:tc>
          <w:tcPr>
            <w:tcW w:w="230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(Commission File Number)</w:t>
            </w:r>
          </w:p>
        </w:tc>
        <w:tc>
          <w:tcPr>
            <w:tcW w:w="287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(IRS Employer Identification No.)</w:t>
            </w:r>
          </w:p>
        </w:tc>
      </w:tr>
    </w:tbl>
    <w:p>
      <w:pPr>
        <w:pStyle w:val="TextBody"/>
        <w:bidi w:val="0"/>
        <w:spacing w:before="0" w:after="0"/>
        <w:jc w:val="left"/>
      </w:pPr>
      <w:r>
        <w:t> </w:t>
      </w:r>
    </w:p>
    <w:p>
      <w:pPr>
        <w:pStyle w:val="HorizontalLine"/>
        <w:pBdr>
          <w:bottom w:val="double" w:sz="2" w:space="0" w:color="808080"/>
        </w:pBdr>
        <w:bidi w:val="0"/>
        <w:spacing w:before="0" w:after="283"/>
        <w:jc w:val="left"/>
      </w:pPr>
      <w:r/>
    </w:p>
    <w:p>
      <w:pPr>
        <w:pStyle w:val="TextBody"/>
        <w:bidi w:val="0"/>
        <w:spacing w:before="0" w:after="0"/>
        <w:jc w:val="left"/>
      </w:pPr>
      <w:r>
        <w:t> </w:t>
      </w:r>
    </w:p>
    <w:tbl>
      <w:tblPr>
        <w:tblW w:w="5155" w:type="dxa"/>
        <w:jc w:val="left"/>
        <w:tblInd w:w="0" w:type="dxa"/>
        <w:tblLayout w:type="fixed"/>
        <w:tblCellMar>
          <w:top w:w="0" w:type="dxa"/>
          <w:left w:w="0" w:type="dxa"/>
          <w:bottom w:w="0" w:type="dxa"/>
          <w:right w:w="0" w:type="dxa"/>
        </w:tblCellMar>
      </w:tblPr>
      <w:tblGrid>
        <w:gridCol w:w="4235"/>
        <w:gridCol w:w="920"/>
      </w:tblGrid>
      <w:tr>
        <w:tc>
          <w:tcPr>
            <w:tcW w:w="423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200 Oceangate, Suite 100, Long Beach, California</w:t>
            </w:r>
          </w:p>
        </w:tc>
        <w:tc>
          <w:tcPr>
            <w:tcW w:w="92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90802</w:t>
            </w:r>
          </w:p>
        </w:tc>
      </w:tr>
      <w:tr>
        <w:tc>
          <w:tcPr>
            <w:tcW w:w="423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(Address of principal executive offices)</w:t>
            </w:r>
          </w:p>
        </w:tc>
        <w:tc>
          <w:tcPr>
            <w:tcW w:w="92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Registrant</w:t>
      </w:r>
      <w:r>
        <w:rPr>
          <w:rFonts w:ascii="Times New Roman" w:hAnsi="Times New Roman"/>
          <w:caps w:val="false"/>
          <w:smallCaps w:val="false"/>
          <w:sz w:val="20"/>
        </w:rPr>
        <w:t>’</w:t>
      </w:r>
      <w:r>
        <w:rPr>
          <w:rFonts w:ascii="Times New Roman" w:hAnsi="Times New Roman"/>
          <w:b/>
          <w:caps w:val="false"/>
          <w:smallCaps w:val="false"/>
          <w:sz w:val="20"/>
        </w:rPr>
        <w:t>s telephone number, including area code: (562) 435-3666</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742" w:type="dxa"/>
        <w:jc w:val="left"/>
        <w:tblInd w:w="0" w:type="dxa"/>
        <w:tblLayout w:type="fixed"/>
        <w:tblCellMar>
          <w:top w:w="28" w:type="dxa"/>
          <w:left w:w="28" w:type="dxa"/>
          <w:bottom w:w="28" w:type="dxa"/>
          <w:right w:w="28" w:type="dxa"/>
        </w:tblCellMar>
      </w:tblPr>
      <w:tblGrid>
        <w:gridCol w:w="331"/>
        <w:gridCol w:w="7411"/>
      </w:tblGrid>
      <w:tr>
        <w:tc>
          <w:tcPr>
            <w:tcW w:w="331" w:type="dxa"/>
            <w:tcBorders/>
            <w:vAlign w:val="center"/>
          </w:tcPr>
          <w:p>
            <w:pPr>
              <w:pStyle w:val="TableContents"/>
              <w:bidi w:val="0"/>
              <w:spacing w:before="0" w:after="0"/>
              <w:ind w:left="0" w:right="0" w:hanging="0"/>
              <w:jc w:val="left"/>
            </w:pPr>
            <w:r>
              <w:t>☐</w:t>
            </w:r>
          </w:p>
        </w:tc>
        <w:tc>
          <w:tcPr>
            <w:tcW w:w="741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772" w:type="dxa"/>
        <w:jc w:val="left"/>
        <w:tblInd w:w="0" w:type="dxa"/>
        <w:tblLayout w:type="fixed"/>
        <w:tblCellMar>
          <w:top w:w="28" w:type="dxa"/>
          <w:left w:w="28" w:type="dxa"/>
          <w:bottom w:w="28" w:type="dxa"/>
          <w:right w:w="28" w:type="dxa"/>
        </w:tblCellMar>
      </w:tblPr>
      <w:tblGrid>
        <w:gridCol w:w="331"/>
        <w:gridCol w:w="7441"/>
      </w:tblGrid>
      <w:tr>
        <w:tc>
          <w:tcPr>
            <w:tcW w:w="331" w:type="dxa"/>
            <w:tcBorders/>
            <w:vAlign w:val="center"/>
          </w:tcPr>
          <w:p>
            <w:pPr>
              <w:pStyle w:val="TableContents"/>
              <w:bidi w:val="0"/>
              <w:spacing w:before="0" w:after="0"/>
              <w:ind w:left="0" w:right="0" w:hanging="0"/>
              <w:jc w:val="left"/>
            </w:pPr>
            <w:r>
              <w:t>☐</w:t>
            </w:r>
          </w:p>
        </w:tc>
        <w:tc>
          <w:tcPr>
            <w:tcW w:w="744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512" w:type="dxa"/>
        <w:jc w:val="left"/>
        <w:tblInd w:w="0" w:type="dxa"/>
        <w:tblLayout w:type="fixed"/>
        <w:tblCellMar>
          <w:top w:w="28" w:type="dxa"/>
          <w:left w:w="28" w:type="dxa"/>
          <w:bottom w:w="28" w:type="dxa"/>
          <w:right w:w="28" w:type="dxa"/>
        </w:tblCellMar>
      </w:tblPr>
      <w:tblGrid>
        <w:gridCol w:w="331"/>
        <w:gridCol w:w="9181"/>
      </w:tblGrid>
      <w:tr>
        <w:tc>
          <w:tcPr>
            <w:tcW w:w="331" w:type="dxa"/>
            <w:tcBorders/>
            <w:vAlign w:val="center"/>
          </w:tcPr>
          <w:p>
            <w:pPr>
              <w:pStyle w:val="TableContents"/>
              <w:bidi w:val="0"/>
              <w:spacing w:before="0" w:after="0"/>
              <w:ind w:left="0" w:right="0" w:hanging="0"/>
              <w:jc w:val="left"/>
            </w:pPr>
            <w:r>
              <w:t>☐</w:t>
            </w:r>
          </w:p>
        </w:tc>
        <w:tc>
          <w:tcPr>
            <w:tcW w:w="918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497" w:type="dxa"/>
        <w:jc w:val="left"/>
        <w:tblInd w:w="0" w:type="dxa"/>
        <w:tblLayout w:type="fixed"/>
        <w:tblCellMar>
          <w:top w:w="28" w:type="dxa"/>
          <w:left w:w="28" w:type="dxa"/>
          <w:bottom w:w="28" w:type="dxa"/>
          <w:right w:w="28" w:type="dxa"/>
        </w:tblCellMar>
      </w:tblPr>
      <w:tblGrid>
        <w:gridCol w:w="331"/>
        <w:gridCol w:w="9166"/>
      </w:tblGrid>
      <w:tr>
        <w:tc>
          <w:tcPr>
            <w:tcW w:w="331" w:type="dxa"/>
            <w:tcBorders/>
            <w:vAlign w:val="center"/>
          </w:tcPr>
          <w:p>
            <w:pPr>
              <w:pStyle w:val="TableContents"/>
              <w:bidi w:val="0"/>
              <w:spacing w:before="0" w:after="0"/>
              <w:ind w:left="0" w:right="0" w:hanging="0"/>
              <w:jc w:val="left"/>
            </w:pPr>
            <w:r>
              <w:t>☐</w:t>
            </w:r>
          </w:p>
        </w:tc>
        <w:tc>
          <w:tcPr>
            <w:tcW w:w="916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Pre-commencement communications pursuant to Rule 13e-4(c) under the Exchange Act (17 CFR 240.13e-4(c)) </w:t>
            </w:r>
          </w:p>
        </w:tc>
      </w:tr>
    </w:tbl>
    <w:p>
      <w:pPr>
        <w:pStyle w:val="TextBody"/>
        <w:bidi w:val="0"/>
        <w:spacing w:before="0" w:after="0"/>
        <w:ind w:left="0" w:right="0" w:firstLine="20"/>
        <w:jc w:val="left"/>
        <w:rPr>
          <w:caps w:val="false"/>
          <w:smallCaps w:val="false"/>
        </w:rPr>
      </w:pPr>
      <w:r>
        <w:rPr>
          <w:caps w:val="false"/>
          <w:smallCaps w:val="false"/>
        </w:rPr>
        <w:t> </w:t>
      </w:r>
    </w:p>
    <w:p>
      <w:pPr>
        <w:pStyle w:val="TextBody"/>
        <w:bidi w:val="0"/>
        <w:spacing w:before="0" w:after="0"/>
        <w:ind w:left="0" w:right="0" w:firstLine="20"/>
        <w:jc w:val="left"/>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firstLine="20"/>
        <w:jc w:val="left"/>
        <w:rPr>
          <w:caps w:val="false"/>
          <w:smallCaps w:val="false"/>
        </w:rPr>
      </w:pPr>
      <w:r>
        <w:rPr>
          <w:caps w:val="false"/>
          <w:smallCaps w:val="false"/>
        </w:rPr>
        <w:t> </w:t>
      </w:r>
    </w:p>
    <w:tbl>
      <w:tblPr>
        <w:tblW w:w="8070" w:type="dxa"/>
        <w:jc w:val="left"/>
        <w:tblInd w:w="0" w:type="dxa"/>
        <w:tblLayout w:type="fixed"/>
        <w:tblCellMar>
          <w:top w:w="28" w:type="dxa"/>
          <w:left w:w="28" w:type="dxa"/>
          <w:bottom w:w="28" w:type="dxa"/>
          <w:right w:w="0" w:type="dxa"/>
        </w:tblCellMar>
      </w:tblPr>
      <w:tblGrid>
        <w:gridCol w:w="2765"/>
        <w:gridCol w:w="1610"/>
        <w:gridCol w:w="3695"/>
      </w:tblGrid>
      <w:tr>
        <w:tc>
          <w:tcPr>
            <w:tcW w:w="2765" w:type="dxa"/>
            <w:tcBorders>
              <w:top w:val="single" w:sz="2" w:space="0" w:color="000000"/>
              <w:left w:val="single" w:sz="2" w:space="0" w:color="000000"/>
              <w:bottom w:val="single" w:sz="2" w:space="0" w:color="000000"/>
            </w:tcBorders>
            <w:vAlign w:val="center"/>
          </w:tcPr>
          <w:p>
            <w:pPr>
              <w:pStyle w:val="TableContents"/>
              <w:bidi w:val="0"/>
              <w:spacing w:before="0" w:after="0"/>
              <w:ind w:left="20" w:right="0" w:hanging="0"/>
              <w:jc w:val="left"/>
              <w:rPr>
                <w:rFonts w:ascii="Times New Roman" w:hAnsi="Times New Roman"/>
                <w:b/>
                <w:caps w:val="false"/>
                <w:smallCaps w:val="false"/>
                <w:sz w:val="20"/>
              </w:rPr>
            </w:pPr>
            <w:r>
              <w:rPr>
                <w:rFonts w:ascii="Times New Roman" w:hAnsi="Times New Roman"/>
                <w:b/>
                <w:caps w:val="false"/>
                <w:smallCaps w:val="false"/>
                <w:sz w:val="20"/>
              </w:rPr>
              <w:t>Title of each class</w:t>
            </w:r>
          </w:p>
        </w:tc>
        <w:tc>
          <w:tcPr>
            <w:tcW w:w="1610"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Trading Symbol(s)</w:t>
            </w:r>
          </w:p>
        </w:tc>
        <w:tc>
          <w:tcPr>
            <w:tcW w:w="3695" w:type="dxa"/>
            <w:tcBorders>
              <w:top w:val="single" w:sz="2" w:space="0" w:color="000000"/>
              <w:left w:val="single" w:sz="2" w:space="0" w:color="000000"/>
              <w:bottom w:val="single" w:sz="2" w:space="0" w:color="000000"/>
              <w:right w:val="single" w:sz="2" w:space="0" w:color="000000"/>
            </w:tcBorders>
            <w:tcMar>
              <w:right w:w="28"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Name of each exchange on which registered</w:t>
            </w:r>
          </w:p>
        </w:tc>
      </w:tr>
      <w:tr>
        <w:tc>
          <w:tcPr>
            <w:tcW w:w="2765" w:type="dxa"/>
            <w:tcBorders>
              <w:left w:val="single" w:sz="2" w:space="0" w:color="000000"/>
              <w:bottom w:val="single" w:sz="2" w:space="0" w:color="000000"/>
            </w:tcBorders>
            <w:tcMar>
              <w:top w:w="0" w:type="dxa"/>
            </w:tcMar>
            <w:vAlign w:val="center"/>
          </w:tcPr>
          <w:p>
            <w:pPr>
              <w:pStyle w:val="TableContents"/>
              <w:bidi w:val="0"/>
              <w:spacing w:before="0" w:after="0"/>
              <w:ind w:left="20" w:right="0" w:hanging="0"/>
              <w:jc w:val="left"/>
              <w:rPr>
                <w:rFonts w:ascii="Times New Roman" w:hAnsi="Times New Roman"/>
                <w:caps w:val="false"/>
                <w:smallCaps w:val="false"/>
                <w:sz w:val="20"/>
              </w:rPr>
            </w:pPr>
            <w:r>
              <w:rPr>
                <w:rFonts w:ascii="Times New Roman" w:hAnsi="Times New Roman"/>
                <w:caps w:val="false"/>
                <w:smallCaps w:val="false"/>
                <w:sz w:val="20"/>
              </w:rPr>
              <w:t>Common Stock, $0.001 Par Value</w:t>
            </w:r>
          </w:p>
        </w:tc>
        <w:tc>
          <w:tcPr>
            <w:tcW w:w="161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MOH</w:t>
            </w:r>
          </w:p>
        </w:tc>
        <w:tc>
          <w:tcPr>
            <w:tcW w:w="369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 xml:space="preserve">Emerging growth company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w:t>
      </w:r>
    </w:p>
    <w:p>
      <w:pPr>
        <w:pStyle w:val="TextBody"/>
        <w:bidi w:val="0"/>
        <w:spacing w:before="0" w:after="0"/>
        <w:ind w:left="0" w:right="0" w:hanging="0"/>
        <w:jc w:val="right"/>
        <w:rPr>
          <w:caps w:val="false"/>
          <w:smallCaps w:val="false"/>
        </w:rPr>
      </w:pPr>
      <w:r>
        <w:rPr>
          <w:caps w:val="false"/>
          <w:smallCaps w:val="false"/>
        </w:rPr>
        <w:t>☐</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pPr>
      <w:r/>
    </w:p>
    <w:p>
      <w:pPr>
        <w:pStyle w:val="HorizontalLine"/>
        <w:pBdr>
          <w:bottom w:val="double" w:sz="2" w:space="0" w:color="808080"/>
        </w:pBdr>
        <w:bidi w:val="0"/>
        <w:spacing w:before="0" w:after="283"/>
        <w:jc w:val="left"/>
      </w:pPr>
      <w:r/>
    </w:p>
    <w:p>
      <w:pPr>
        <w:pStyle w:val="TextBody"/>
        <w:bidi w:val="0"/>
        <w:spacing w:before="0" w:after="0"/>
        <w:ind w:left="0" w:right="0" w:hanging="0"/>
        <w:jc w:val="left"/>
      </w:pPr>
      <w:r>
        <w:t> </w:t>
      </w:r>
    </w:p>
    <w:p>
      <w:pPr>
        <w:pStyle w:val="HorizontalLine"/>
        <w:pBdr>
          <w:bottom w:val="double" w:sz="2" w:space="0" w:color="808080"/>
        </w:pBdr>
        <w:bidi w:val="0"/>
        <w:spacing w:before="0" w:after="283"/>
        <w:jc w:val="left"/>
      </w:pPr>
      <w:r/>
    </w:p>
    <w:p>
      <w:pPr>
        <w:pStyle w:val="TextBody"/>
        <w:bidi w:val="0"/>
        <w:spacing w:before="0" w:after="0"/>
        <w:ind w:left="0" w:right="0" w:hanging="0"/>
        <w:jc w:val="left"/>
      </w:pPr>
      <w: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7.01. Regulation FD Disclosure.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2026 Outlook Affirmation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Members of the senior management team of Molina Healthcare, Inc. (“Molina” or the “Company”) will be participating in UBS’s Global Healthcare Conference on Monday, November 9, 2026. During the conference, and in discussions with investors, the senior management team plans to discuss the Company's business and financial results, including reaffirming the Company’s 2026 full year GAAP diluted earnings per share (EPS) guidance of at least $2.38 and its full year adjusted diluted EPS guidance of at least $5.25. Please refer to the Company’s third quarter 2026 earnings press release attached as Exhibit 99.1 to the Company’s Form 8-K filed with the Securities and Exchange Commission (the “SEC”) on October 21, 2026 for a reconciliation of full year 2026 adjusted diluted EPS guidance to full year GAAP diluted EPS guidance.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At 10:15 a.m. Eastern Time on November 9, 2026, a simultaneous live audio webcast of Molina’s remarks at UBS’s Global Healthcare Conference 2026 will be available on the Company’s investor relations website, investors.molinahealthcare.com. A 30-day replay will also be available on the website shortly following the conclusion of the live webcast.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Safe Harbor Statement under the Private Securities Litigation Reform Act of 1995</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Company’s oral remarks with investors may contain forward-looking statements. The Company intends such forward-looking statements to be covered under the safe harbor provisions for forward-looking statements contained in Section 27A of the Securities Act of 1933 and Section 21E of the Securities Exchange Act of 1934. Forward-looking statements provide current expectations of future events based on certain assumptions, and all statements other than statements of historical fact contained in this earnings release and the Company’s accompanying oral remarks may be forward-looking statements. In some cases, you can identify forward-looking statements by words such as “guidance,” “future,” “anticipates,” “believes,” “embedded,” “estimates,” “expects,” “growth,” “intends,” “plans,” “predicts,” “projects,” “will,” “would,” “could,” “can,” “may,” or the negative of these terms or other similar expressions. Forward-looking statements contained in this earnings release include, but are not limited to, statements regarding the Company’s 2026 full year GAAP diluted EPS and adjusted diluted EPS guidance and the timing of upcoming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Actual results could differ materially due to numerous known and unknown risks and uncertainties. These risks and uncertainties are discussed under the headings “Forward-Looking Statements,” and “Risk Factors,” in the Company’s Annual Report on Form 10</w:t>
        <w:noBreakHyphen/>
        <w:t>K for the year ended December 31, 2025, which is on file with the SEC, and in the Company’s other filings with the SEC. These reports can be accessed under the investor relations tab of the Company’s website or on the SEC’s website at sec.gov. Given these risks and uncertainties, the Company can give no assurances that its forward-looking statements will prove to be accurate, or that any other results or developments projected or contemplated by its forward-looking statements will in fact occur, and the Company cautions investors not to place undue reliance on these statements.</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pPr>
      <w:r/>
    </w:p>
    <w:p>
      <w:pPr>
        <w:pStyle w:val="TextBody"/>
        <w:bidi w:val="0"/>
        <w:spacing w:before="0" w:after="0"/>
        <w:ind w:left="0" w:right="0" w:hanging="0"/>
        <w:jc w:val="left"/>
      </w:pPr>
      <w: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SIGNATURE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6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040" w:type="dxa"/>
        <w:jc w:val="left"/>
        <w:tblInd w:w="0" w:type="dxa"/>
        <w:tblLayout w:type="fixed"/>
        <w:tblCellMar>
          <w:top w:w="0" w:type="dxa"/>
          <w:left w:w="0" w:type="dxa"/>
          <w:bottom w:w="0" w:type="dxa"/>
          <w:right w:w="0" w:type="dxa"/>
        </w:tblCellMar>
      </w:tblPr>
      <w:tblGrid>
        <w:gridCol w:w="2000"/>
        <w:gridCol w:w="320"/>
        <w:gridCol w:w="2720"/>
      </w:tblGrid>
      <w:tr>
        <w:tc>
          <w:tcPr>
            <w:tcW w:w="2000" w:type="dxa"/>
            <w:tcBorders/>
            <w:vAlign w:val="center"/>
          </w:tcPr>
          <w:p>
            <w:pPr>
              <w:pStyle w:val="TableContents"/>
              <w:bidi w:val="0"/>
              <w:spacing w:before="0" w:after="0"/>
              <w:ind w:left="0" w:right="0" w:hanging="0"/>
              <w:jc w:val="left"/>
            </w:pPr>
            <w:r>
              <w:t> </w:t>
            </w:r>
          </w:p>
        </w:tc>
        <w:tc>
          <w:tcPr>
            <w:tcW w:w="320" w:type="dxa"/>
            <w:tcBorders/>
            <w:vAlign w:val="center"/>
          </w:tcPr>
          <w:p>
            <w:pPr>
              <w:pStyle w:val="TableContents"/>
              <w:bidi w:val="0"/>
              <w:spacing w:before="0" w:after="0"/>
              <w:ind w:left="0" w:right="0" w:hanging="0"/>
              <w:jc w:val="left"/>
            </w:pPr>
            <w:r>
              <w:t> </w:t>
            </w:r>
          </w:p>
        </w:tc>
        <w:tc>
          <w:tcPr>
            <w:tcW w:w="27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MOLINA HEALTHCARE, INC.</w:t>
            </w:r>
          </w:p>
        </w:tc>
      </w:tr>
      <w:tr>
        <w:tc>
          <w:tcPr>
            <w:tcW w:w="2000" w:type="dxa"/>
            <w:tcBorders/>
            <w:vAlign w:val="center"/>
          </w:tcPr>
          <w:p>
            <w:pPr>
              <w:pStyle w:val="TableContents"/>
              <w:bidi w:val="0"/>
              <w:spacing w:before="0" w:after="0"/>
              <w:ind w:left="0" w:right="0" w:hanging="0"/>
              <w:jc w:val="left"/>
            </w:pPr>
            <w:r>
              <w:t> </w:t>
            </w:r>
          </w:p>
        </w:tc>
        <w:tc>
          <w:tcPr>
            <w:tcW w:w="320" w:type="dxa"/>
            <w:tcBorders/>
            <w:vAlign w:val="center"/>
          </w:tcPr>
          <w:p>
            <w:pPr>
              <w:pStyle w:val="TableContents"/>
              <w:bidi w:val="0"/>
              <w:spacing w:before="0" w:after="0"/>
              <w:ind w:left="0" w:right="0" w:hanging="0"/>
              <w:jc w:val="left"/>
            </w:pPr>
            <w:r>
              <w:t> </w:t>
            </w:r>
          </w:p>
        </w:tc>
        <w:tc>
          <w:tcPr>
            <w:tcW w:w="2720" w:type="dxa"/>
            <w:tcBorders/>
            <w:vAlign w:val="center"/>
          </w:tcPr>
          <w:p>
            <w:pPr>
              <w:pStyle w:val="TableContents"/>
              <w:bidi w:val="0"/>
              <w:spacing w:before="0" w:after="0"/>
              <w:ind w:left="0" w:right="0" w:hanging="0"/>
              <w:jc w:val="left"/>
            </w:pPr>
            <w:r>
              <w:t> </w:t>
            </w:r>
          </w:p>
        </w:tc>
      </w:tr>
      <w:tr>
        <w:tc>
          <w:tcPr>
            <w:tcW w:w="20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November 6, 2026</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272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Jeff D. Barlow</w:t>
            </w:r>
          </w:p>
        </w:tc>
      </w:tr>
      <w:tr>
        <w:tc>
          <w:tcPr>
            <w:tcW w:w="2000" w:type="dxa"/>
            <w:tcBorders/>
            <w:vAlign w:val="center"/>
          </w:tcPr>
          <w:p>
            <w:pPr>
              <w:pStyle w:val="TableContents"/>
              <w:bidi w:val="0"/>
              <w:spacing w:before="0" w:after="0"/>
              <w:ind w:left="0" w:right="0" w:hanging="0"/>
              <w:jc w:val="left"/>
            </w:pPr>
            <w:r>
              <w:t> </w:t>
            </w:r>
          </w:p>
        </w:tc>
        <w:tc>
          <w:tcPr>
            <w:tcW w:w="320" w:type="dxa"/>
            <w:tcBorders/>
            <w:vAlign w:val="center"/>
          </w:tcPr>
          <w:p>
            <w:pPr>
              <w:pStyle w:val="TableContents"/>
              <w:bidi w:val="0"/>
              <w:spacing w:before="0" w:after="0"/>
              <w:ind w:left="0" w:right="0" w:hanging="0"/>
              <w:jc w:val="left"/>
            </w:pPr>
            <w:r>
              <w:t> </w:t>
            </w:r>
          </w:p>
        </w:tc>
        <w:tc>
          <w:tcPr>
            <w:tcW w:w="27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Jeff D. Barlow</w:t>
            </w:r>
          </w:p>
        </w:tc>
      </w:tr>
      <w:tr>
        <w:tc>
          <w:tcPr>
            <w:tcW w:w="2000" w:type="dxa"/>
            <w:tcBorders/>
            <w:vAlign w:val="center"/>
          </w:tcPr>
          <w:p>
            <w:pPr>
              <w:pStyle w:val="TableContents"/>
              <w:bidi w:val="0"/>
              <w:spacing w:before="0" w:after="0"/>
              <w:ind w:left="0" w:right="0" w:hanging="0"/>
              <w:jc w:val="left"/>
            </w:pPr>
            <w:r>
              <w:t> </w:t>
            </w:r>
          </w:p>
        </w:tc>
        <w:tc>
          <w:tcPr>
            <w:tcW w:w="320" w:type="dxa"/>
            <w:tcBorders/>
            <w:vAlign w:val="center"/>
          </w:tcPr>
          <w:p>
            <w:pPr>
              <w:pStyle w:val="TableContents"/>
              <w:bidi w:val="0"/>
              <w:spacing w:before="0" w:after="0"/>
              <w:ind w:left="0" w:right="0" w:hanging="0"/>
              <w:jc w:val="left"/>
            </w:pPr>
            <w:r>
              <w:t> </w:t>
            </w:r>
          </w:p>
        </w:tc>
        <w:tc>
          <w:tcPr>
            <w:tcW w:w="27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Legal Officer and Secretary</w:t>
            </w:r>
          </w:p>
        </w:tc>
      </w:tr>
    </w:tbl>
    <w:p>
      <w:pPr>
        <w:pStyle w:val="TextBody"/>
        <w:bidi w:val="0"/>
        <w:spacing w:before="0" w:after="283"/>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827</Words>
  <Characters>4686</Characters>
  <CharactersWithSpaces>5523</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